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2024年2月20日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T15862176512</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bookmarkStart w:id="97" w:name="_GoBack"/>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_Toc14558 </w:instrText>
      </w:r>
      <w:r>
        <w:rPr>
          <w:szCs w:val="28"/>
        </w:rPr>
        <w:fldChar w:fldCharType="separate"/>
      </w:r>
      <w:r>
        <w:rPr>
          <w:rFonts w:hint="eastAsia"/>
        </w:rPr>
        <w:t>1. 建筑概况</w:t>
      </w:r>
      <w:r>
        <w:tab/>
      </w:r>
      <w:r>
        <w:fldChar w:fldCharType="begin"/>
      </w:r>
      <w:r>
        <w:instrText xml:space="preserve"> PAGEREF _Toc14558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_Toc18811 </w:instrText>
      </w:r>
      <w:r>
        <w:rPr>
          <w:szCs w:val="28"/>
        </w:rPr>
        <w:fldChar w:fldCharType="separate"/>
      </w:r>
      <w:r>
        <w:rPr>
          <w:rFonts w:hint="eastAsia"/>
        </w:rPr>
        <w:t>2. 计算</w:t>
      </w:r>
      <w:r>
        <w:t>目的</w:t>
      </w:r>
      <w:r>
        <w:tab/>
      </w:r>
      <w:r>
        <w:fldChar w:fldCharType="begin"/>
      </w:r>
      <w:r>
        <w:instrText xml:space="preserve"> PAGEREF _Toc18811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_Toc5157 </w:instrText>
      </w:r>
      <w:r>
        <w:rPr>
          <w:szCs w:val="28"/>
        </w:rPr>
        <w:fldChar w:fldCharType="separate"/>
      </w:r>
      <w:r>
        <w:rPr>
          <w:rFonts w:hint="eastAsia"/>
        </w:rPr>
        <w:t>3. 分析依据</w:t>
      </w:r>
      <w:r>
        <w:tab/>
      </w:r>
      <w:r>
        <w:fldChar w:fldCharType="begin"/>
      </w:r>
      <w:r>
        <w:instrText xml:space="preserve"> PAGEREF _Toc5157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_Toc12696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_Toc12696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_Toc18462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_Toc18462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_Toc16987 </w:instrText>
      </w:r>
      <w:r>
        <w:rPr>
          <w:szCs w:val="28"/>
        </w:rPr>
        <w:fldChar w:fldCharType="separate"/>
      </w:r>
      <w:r>
        <w:rPr>
          <w:rFonts w:hint="eastAsia"/>
        </w:rPr>
        <w:t>4. 采光分析</w:t>
      </w:r>
      <w:r>
        <w:t>概述</w:t>
      </w:r>
      <w:r>
        <w:tab/>
      </w:r>
      <w:r>
        <w:fldChar w:fldCharType="begin"/>
      </w:r>
      <w:r>
        <w:instrText xml:space="preserve"> PAGEREF _Toc16987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_Toc15075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_Toc15075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_Toc31103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_Toc31103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_Toc27456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_Toc27456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_Toc23215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_Toc23215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_Toc5629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_Toc5629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_Toc53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_Toc53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_Toc596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_Toc596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_Toc14870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_Toc14870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_Toc5920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_Toc5920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_Toc30465 </w:instrText>
      </w:r>
      <w:r>
        <w:rPr>
          <w:szCs w:val="28"/>
        </w:rPr>
        <w:fldChar w:fldCharType="separate"/>
      </w:r>
      <w:r>
        <w:rPr>
          <w:rFonts w:hint="eastAsia"/>
        </w:rPr>
        <w:t>6. 动态采光达标统计</w:t>
      </w:r>
      <w:r>
        <w:tab/>
      </w:r>
      <w:r>
        <w:fldChar w:fldCharType="begin"/>
      </w:r>
      <w:r>
        <w:instrText xml:space="preserve"> PAGEREF _Toc30465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_Toc9873 </w:instrText>
      </w:r>
      <w:r>
        <w:rPr>
          <w:szCs w:val="28"/>
        </w:rPr>
        <w:fldChar w:fldCharType="separate"/>
      </w:r>
      <w:r>
        <w:rPr>
          <w:rFonts w:hint="eastAsia"/>
        </w:rPr>
        <w:t>7. 动态采光统计图</w:t>
      </w:r>
      <w:r>
        <w:tab/>
      </w:r>
      <w:r>
        <w:fldChar w:fldCharType="begin"/>
      </w:r>
      <w:r>
        <w:instrText xml:space="preserve"> PAGEREF _Toc9873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_Toc19898 </w:instrText>
      </w:r>
      <w:r>
        <w:rPr>
          <w:szCs w:val="28"/>
        </w:rPr>
        <w:fldChar w:fldCharType="separate"/>
      </w:r>
      <w:r>
        <w:rPr>
          <w:rFonts w:hint="eastAsia"/>
        </w:rPr>
        <w:t>8. 评价结论</w:t>
      </w:r>
      <w:r>
        <w:tab/>
      </w:r>
      <w:r>
        <w:fldChar w:fldCharType="begin"/>
      </w:r>
      <w:r>
        <w:instrText xml:space="preserve"> PAGEREF _Toc19898 \h </w:instrText>
      </w:r>
      <w:r>
        <w:fldChar w:fldCharType="separate"/>
      </w:r>
      <w:r>
        <w:t>8</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bookmarkEnd w:id="97"/>
    </w:p>
    <w:p>
      <w:pPr>
        <w:pStyle w:val="2"/>
        <w:ind w:left="432" w:hanging="432"/>
      </w:pPr>
      <w:r>
        <w:rPr>
          <w:szCs w:val="21"/>
        </w:rPr>
        <w:tab/>
      </w:r>
      <w:bookmarkStart w:id="11" w:name="_Toc512608176"/>
      <w:bookmarkStart w:id="12" w:name="_Toc14558"/>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普洱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0.90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539.91</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17.00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18811"/>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5157"/>
      <w:r>
        <w:rPr>
          <w:rFonts w:hint="eastAsia"/>
        </w:rPr>
        <w:t>分析依据</w:t>
      </w:r>
      <w:bookmarkEnd w:id="25"/>
      <w:bookmarkEnd w:id="26"/>
    </w:p>
    <w:p>
      <w:pPr>
        <w:pStyle w:val="4"/>
      </w:pPr>
      <w:bookmarkStart w:id="27" w:name="_Toc12696"/>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18462"/>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展览建筑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firstLine="420"/>
        <w:rPr>
          <w:rFonts w:ascii="微软雅黑" w:hAnsi="微软雅黑"/>
          <w:sz w:val="21"/>
          <w:szCs w:val="21"/>
        </w:rPr>
      </w:pPr>
      <w:bookmarkStart w:id="31" w:name="条文描述_展览建筑"/>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48"/>
        <w:gridCol w:w="1332"/>
        <w:gridCol w:w="1333"/>
        <w:gridCol w:w="1332"/>
        <w:gridCol w:w="1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48"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6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6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48"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656"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33"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1"/>
    </w:tbl>
    <w:p>
      <w:pPr>
        <w:pStyle w:val="39"/>
        <w:ind w:left="840" w:firstLine="0" w:firstLineChars="0"/>
        <w:rPr>
          <w:sz w:val="24"/>
          <w:lang w:val="en-US"/>
        </w:rPr>
      </w:pPr>
      <w:bookmarkStart w:id="32" w:name="_Toc312399791"/>
      <w:bookmarkStart w:id="33" w:name="_Toc275165382"/>
      <w:bookmarkStart w:id="34" w:name="_Toc512608180"/>
      <w:bookmarkStart w:id="35" w:name="_Toc290149054"/>
      <w:bookmarkStart w:id="36" w:name="_Toc264043625"/>
      <w:bookmarkStart w:id="37" w:name="_Toc264569232"/>
      <w:bookmarkStart w:id="38" w:name="_Toc290209312"/>
      <w:bookmarkStart w:id="39" w:name="_Toc290209336"/>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40" w:name="_Toc16987"/>
      <w:r>
        <w:rPr>
          <w:rFonts w:hint="eastAsia"/>
        </w:rPr>
        <w:t>采光分析</w:t>
      </w:r>
      <w:r>
        <w:t>概述</w:t>
      </w:r>
      <w:bookmarkEnd w:id="32"/>
      <w:bookmarkEnd w:id="33"/>
      <w:bookmarkEnd w:id="34"/>
      <w:bookmarkEnd w:id="35"/>
      <w:bookmarkEnd w:id="36"/>
      <w:bookmarkEnd w:id="37"/>
      <w:bookmarkEnd w:id="38"/>
      <w:bookmarkEnd w:id="39"/>
      <w:bookmarkEnd w:id="40"/>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1" w:name="_Toc512608181"/>
      <w:bookmarkStart w:id="42" w:name="_Toc15075"/>
      <w:r>
        <w:rPr>
          <w:rFonts w:hint="eastAsia"/>
        </w:rPr>
        <w:t>基本原理</w:t>
      </w:r>
      <w:bookmarkEnd w:id="41"/>
      <w:bookmarkEnd w:id="42"/>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3" w:name="_Toc290209317"/>
      <w:bookmarkStart w:id="44" w:name="_Toc290209341"/>
      <w:bookmarkStart w:id="45" w:name="_Toc290149059"/>
      <w:bookmarkStart w:id="46" w:name="_Toc264569237"/>
      <w:bookmarkStart w:id="47" w:name="_Toc275165387"/>
      <w:bookmarkStart w:id="48" w:name="_Toc312399796"/>
      <w:bookmarkStart w:id="49" w:name="_Toc264043630"/>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3"/>
    <w:bookmarkEnd w:id="44"/>
    <w:bookmarkEnd w:id="45"/>
    <w:bookmarkEnd w:id="46"/>
    <w:bookmarkEnd w:id="47"/>
    <w:bookmarkEnd w:id="48"/>
    <w:bookmarkEnd w:id="49"/>
    <w:p>
      <w:pPr>
        <w:pStyle w:val="4"/>
        <w:tabs>
          <w:tab w:val="left" w:pos="862"/>
          <w:tab w:val="clear" w:pos="578"/>
        </w:tabs>
        <w:ind w:left="862"/>
      </w:pPr>
      <w:bookmarkStart w:id="50" w:name="_Toc31103"/>
      <w:r>
        <w:rPr>
          <w:rFonts w:hint="eastAsia"/>
        </w:rPr>
        <w:t>计算方法</w:t>
      </w:r>
      <w:bookmarkEnd w:id="50"/>
    </w:p>
    <w:p>
      <w:pPr>
        <w:pStyle w:val="3"/>
        <w:ind w:left="360" w:leftChars="200"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51" w:name="_Toc27456"/>
      <w:r>
        <w:t>软件</w:t>
      </w:r>
      <w:r>
        <w:rPr>
          <w:rFonts w:hint="eastAsia"/>
        </w:rPr>
        <w:t>选用</w:t>
      </w:r>
      <w:bookmarkEnd w:id="51"/>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2" w:name="_Toc512608187"/>
      <w:bookmarkStart w:id="53" w:name="_Toc23215"/>
      <w:r>
        <w:rPr>
          <w:rFonts w:hint="eastAsia"/>
        </w:rPr>
        <w:t>采光计算</w:t>
      </w:r>
      <w:r>
        <w:t>参数</w:t>
      </w:r>
      <w:r>
        <w:rPr>
          <w:rFonts w:hint="eastAsia"/>
        </w:rPr>
        <w:t>取值</w:t>
      </w:r>
      <w:bookmarkEnd w:id="52"/>
      <w:bookmarkEnd w:id="53"/>
    </w:p>
    <w:p>
      <w:pPr>
        <w:pStyle w:val="4"/>
      </w:pPr>
      <w:bookmarkStart w:id="54" w:name="_Toc264569236"/>
      <w:bookmarkStart w:id="55" w:name="_Toc264043629"/>
      <w:bookmarkStart w:id="56" w:name="_Toc275165386"/>
      <w:bookmarkStart w:id="57" w:name="_Toc290149058"/>
      <w:bookmarkStart w:id="58" w:name="_Toc290209316"/>
      <w:bookmarkStart w:id="59" w:name="_Toc290209340"/>
      <w:bookmarkStart w:id="60" w:name="_Toc312399795"/>
      <w:bookmarkStart w:id="61" w:name="_Toc512608188"/>
      <w:bookmarkStart w:id="62" w:name="_Toc5629"/>
      <w:r>
        <w:t>模拟</w:t>
      </w:r>
      <w:bookmarkEnd w:id="54"/>
      <w:bookmarkEnd w:id="55"/>
      <w:bookmarkEnd w:id="56"/>
      <w:bookmarkEnd w:id="57"/>
      <w:bookmarkEnd w:id="58"/>
      <w:bookmarkEnd w:id="59"/>
      <w:bookmarkEnd w:id="60"/>
      <w:r>
        <w:rPr>
          <w:rFonts w:hint="eastAsia"/>
        </w:rPr>
        <w:t>分析条件说明</w:t>
      </w:r>
      <w:bookmarkEnd w:id="61"/>
      <w:bookmarkEnd w:id="62"/>
    </w:p>
    <w:p>
      <w:pPr>
        <w:pStyle w:val="3"/>
        <w:rPr>
          <w:rFonts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pPr>
        <w:pStyle w:val="3"/>
      </w:pPr>
      <w:r>
        <w:rPr>
          <w:rFonts w:hint="eastAsia"/>
          <w:b/>
        </w:rPr>
        <w:t>计算</w:t>
      </w:r>
      <w:r>
        <w:rPr>
          <w:b/>
        </w:rPr>
        <w:t>光线反射次数</w:t>
      </w:r>
      <w:r>
        <w:t>：</w:t>
      </w:r>
      <w:bookmarkStart w:id="64" w:name="光线反射次数"/>
      <w:r>
        <w:rPr>
          <w:rFonts w:hint="eastAsia"/>
        </w:rPr>
        <w:t>3</w:t>
      </w:r>
      <w:bookmarkEnd w:id="64"/>
      <w:r>
        <w:rPr>
          <w:rFonts w:hint="eastAsia"/>
        </w:rPr>
        <w:t>次；</w:t>
      </w:r>
    </w:p>
    <w:p>
      <w:pPr>
        <w:pStyle w:val="3"/>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pPr>
        <w:pStyle w:val="3"/>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7" w:name="网格划分小房间面积"/>
            <w:r>
              <w:rPr>
                <w:rFonts w:hint="eastAsia"/>
              </w:rPr>
              <w:t>10</w:t>
            </w:r>
            <w:bookmarkEnd w:id="67"/>
          </w:p>
        </w:tc>
        <w:tc>
          <w:tcPr>
            <w:tcW w:w="3272" w:type="dxa"/>
            <w:shd w:val="clear" w:color="auto" w:fill="auto"/>
            <w:vAlign w:val="center"/>
          </w:tcPr>
          <w:p>
            <w:bookmarkStart w:id="68" w:name="小房间网格大小"/>
            <w:r>
              <w:rPr>
                <w:rFonts w:hint="eastAsia"/>
              </w:rPr>
              <w:t>0.25</w:t>
            </w:r>
            <w:bookmarkEnd w:id="6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9" w:name="网格划分房间面积"/>
            <w:r>
              <w:rPr>
                <w:rFonts w:hint="eastAsia"/>
              </w:rPr>
              <w:t>10~100</w:t>
            </w:r>
            <w:bookmarkEnd w:id="69"/>
          </w:p>
        </w:tc>
        <w:tc>
          <w:tcPr>
            <w:tcW w:w="3272" w:type="dxa"/>
            <w:shd w:val="clear" w:color="auto" w:fill="auto"/>
            <w:vAlign w:val="center"/>
          </w:tcPr>
          <w:p>
            <w:bookmarkStart w:id="70" w:name="网格大小"/>
            <w:r>
              <w:rPr>
                <w:rFonts w:hint="eastAsia"/>
              </w:rPr>
              <w:t>0.50</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1" w:name="网格划分大房间面积"/>
            <w:r>
              <w:rPr>
                <w:rFonts w:hint="eastAsia"/>
              </w:rPr>
              <w:t>100</w:t>
            </w:r>
            <w:bookmarkEnd w:id="71"/>
          </w:p>
        </w:tc>
        <w:tc>
          <w:tcPr>
            <w:tcW w:w="3272" w:type="dxa"/>
            <w:shd w:val="clear" w:color="auto" w:fill="auto"/>
            <w:vAlign w:val="center"/>
          </w:tcPr>
          <w:p>
            <w:bookmarkStart w:id="72" w:name="大房间网格大小"/>
            <w:r>
              <w:rPr>
                <w:rFonts w:hint="eastAsia"/>
              </w:rPr>
              <w:t>1.00</w:t>
            </w:r>
            <w:bookmarkEnd w:id="72"/>
          </w:p>
        </w:tc>
      </w:tr>
    </w:tbl>
    <w:p>
      <w:pPr>
        <w:pStyle w:val="3"/>
      </w:pPr>
      <w:r>
        <w:rPr>
          <w:rFonts w:hint="eastAsia"/>
          <w:b/>
        </w:rPr>
        <w:t>周边环境：</w:t>
      </w:r>
      <w:r>
        <w:rPr>
          <w:rFonts w:hint="eastAsia"/>
        </w:rPr>
        <w:t>考虑分析区内的建筑物之间遮挡；</w:t>
      </w:r>
    </w:p>
    <w:p>
      <w:pPr>
        <w:pStyle w:val="4"/>
      </w:pPr>
      <w:bookmarkStart w:id="73" w:name="_Toc53"/>
      <w:r>
        <w:rPr>
          <w:rFonts w:hint="eastAsia"/>
        </w:rPr>
        <w:t>建筑饰面材料参数</w:t>
      </w:r>
      <w:bookmarkEnd w:id="66"/>
      <w:bookmarkEnd w:id="73"/>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4" w:name="顶棚反射比"/>
            <w:r>
              <w:rPr>
                <w:rFonts w:hint="eastAsia"/>
              </w:rPr>
              <w:t>0.75</w:t>
            </w:r>
            <w:bookmarkEnd w:id="74"/>
          </w:p>
        </w:tc>
        <w:tc>
          <w:tcPr>
            <w:tcW w:w="1661" w:type="dxa"/>
            <w:tcBorders>
              <w:top w:val="single" w:color="auto" w:sz="4" w:space="0"/>
            </w:tcBorders>
            <w:vAlign w:val="center"/>
          </w:tcPr>
          <w:p>
            <w:bookmarkStart w:id="75" w:name="地面反射比"/>
            <w:r>
              <w:rPr>
                <w:rFonts w:hint="eastAsia"/>
              </w:rPr>
              <w:t>0.30</w:t>
            </w:r>
            <w:bookmarkEnd w:id="75"/>
          </w:p>
        </w:tc>
        <w:tc>
          <w:tcPr>
            <w:tcW w:w="1661" w:type="dxa"/>
            <w:tcBorders>
              <w:top w:val="single" w:color="auto" w:sz="4" w:space="0"/>
            </w:tcBorders>
            <w:vAlign w:val="center"/>
          </w:tcPr>
          <w:p>
            <w:bookmarkStart w:id="76" w:name="墙面反射比"/>
            <w:r>
              <w:rPr>
                <w:rFonts w:hint="eastAsia"/>
              </w:rPr>
              <w:t>0.60</w:t>
            </w:r>
            <w:bookmarkEnd w:id="76"/>
          </w:p>
        </w:tc>
        <w:tc>
          <w:tcPr>
            <w:tcW w:w="1662" w:type="dxa"/>
            <w:tcBorders>
              <w:top w:val="single" w:color="auto" w:sz="4" w:space="0"/>
            </w:tcBorders>
            <w:vAlign w:val="center"/>
          </w:tcPr>
          <w:p>
            <w:bookmarkStart w:id="77" w:name="外表面反射比"/>
            <w:r>
              <w:rPr>
                <w:rFonts w:hint="eastAsia"/>
              </w:rPr>
              <w:t>0.50</w:t>
            </w:r>
            <w:bookmarkEnd w:id="77"/>
          </w:p>
        </w:tc>
      </w:tr>
    </w:tbl>
    <w:p>
      <w:pPr>
        <w:pStyle w:val="14"/>
        <w:spacing w:line="360" w:lineRule="auto"/>
        <w:ind w:firstLine="360"/>
        <w:rPr>
          <w:rFonts w:ascii="Times New Roman" w:hAnsi="Times New Roman"/>
          <w:sz w:val="18"/>
          <w:szCs w:val="18"/>
        </w:rPr>
      </w:pPr>
    </w:p>
    <w:p>
      <w:pPr>
        <w:pStyle w:val="4"/>
      </w:pPr>
      <w:bookmarkStart w:id="78" w:name="_Toc596"/>
      <w:r>
        <w:rPr>
          <w:rFonts w:hint="eastAsia"/>
        </w:rPr>
        <w:t>门窗类型参数</w:t>
      </w:r>
      <w:bookmarkEnd w:id="78"/>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9" w:name="_Toc14870"/>
      <w:bookmarkStart w:id="80" w:name="窗"/>
      <w:r>
        <w:t>普通</w:t>
      </w:r>
      <w:r>
        <w:rPr>
          <w:rFonts w:hint="eastAsia"/>
        </w:rPr>
        <w:t>窗</w:t>
      </w:r>
      <w:bookmarkEnd w:id="79"/>
    </w:p>
    <w:bookmarkEnd w:id="80"/>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1100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M15</w:t>
            </w:r>
          </w:p>
        </w:tc>
        <w:tc>
          <w:tcPr>
            <w:vAlign w:val="center"/>
          </w:tcPr>
          <w:p>
            <w:r>
              <w:t>3596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M2815</w:t>
            </w:r>
          </w:p>
        </w:tc>
        <w:tc>
          <w:tcPr>
            <w:vAlign w:val="center"/>
          </w:tcPr>
          <w:p>
            <w:r>
              <w:t>2804</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M3015</w:t>
            </w:r>
          </w:p>
        </w:tc>
        <w:tc>
          <w:tcPr>
            <w:vAlign w:val="center"/>
          </w:tcPr>
          <w:p>
            <w:r>
              <w:t>3000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M3615</w:t>
            </w:r>
          </w:p>
        </w:tc>
        <w:tc>
          <w:tcPr>
            <w:vAlign w:val="center"/>
          </w:tcPr>
          <w:p>
            <w:r>
              <w:t>3600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81" w:name="_Toc5920"/>
      <w:bookmarkStart w:id="82" w:name="幕墙"/>
      <w:r>
        <w:rPr>
          <w:rFonts w:hint="eastAsia"/>
        </w:rPr>
        <w:t>玻璃幕墙</w:t>
      </w:r>
      <w:bookmarkEnd w:id="81"/>
    </w:p>
    <w:bookmarkEnd w:id="82"/>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6559</w:t>
            </w:r>
          </w:p>
        </w:tc>
        <w:tc>
          <w:tcPr>
            <w:vAlign w:val="center"/>
          </w:tcPr>
          <w:p>
            <w:r>
              <w:t>5000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83" w:name="窗污染折减系数"/>
      <w:bookmarkEnd w:id="83"/>
    </w:p>
    <w:p>
      <w:pPr>
        <w:pStyle w:val="2"/>
        <w:ind w:left="432" w:hanging="432"/>
      </w:pPr>
      <w:bookmarkStart w:id="84" w:name="_Toc30465"/>
      <w:r>
        <w:rPr>
          <w:rFonts w:hint="eastAsia"/>
        </w:rPr>
        <w:t>动态采光达标统计</w:t>
      </w:r>
      <w:bookmarkEnd w:id="84"/>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比例(%)</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15.01</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1003</w:t>
            </w:r>
          </w:p>
        </w:tc>
        <w:tc>
          <w:tcPr>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62.30</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1004</w:t>
            </w:r>
          </w:p>
        </w:tc>
        <w:tc>
          <w:tcPr>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33.52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2</w:t>
            </w:r>
          </w:p>
        </w:tc>
        <w:tc>
          <w:tcPr>
            <w:gridSpan w:val="2"/>
            <w:vAlign w:val="center"/>
          </w:tcPr>
          <w:p>
            <w:pPr>
              <w:jc w:val="center"/>
            </w:pPr>
            <w:r>
              <w:t>2001</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156.79</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3</w:t>
            </w:r>
          </w:p>
        </w:tc>
        <w:tc>
          <w:tcPr>
            <w:gridSpan w:val="2"/>
            <w:vAlign w:val="center"/>
          </w:tcPr>
          <w:p>
            <w:pPr>
              <w:jc w:val="center"/>
            </w:pPr>
            <w:r>
              <w:t>3001</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164.31</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库房</w:t>
            </w:r>
          </w:p>
        </w:tc>
        <w:tc>
          <w:tcPr>
            <w:gridSpan w:val="3"/>
            <w:vAlign w:val="center"/>
          </w:tcPr>
          <w:p>
            <w:pPr>
              <w:jc w:val="center"/>
            </w:pPr>
            <w:r>
              <w:t>侧面</w:t>
            </w:r>
          </w:p>
        </w:tc>
        <w:tc>
          <w:tcPr>
            <w:gridSpan w:val="3"/>
            <w:vAlign w:val="center"/>
          </w:tcPr>
          <w:p>
            <w:pPr>
              <w:jc w:val="center"/>
            </w:pPr>
            <w:r>
              <w:t>150</w:t>
            </w:r>
          </w:p>
        </w:tc>
        <w:tc>
          <w:tcPr>
            <w:gridSpan w:val="2"/>
            <w:vAlign w:val="center"/>
          </w:tcPr>
          <w:p>
            <w:pPr>
              <w:jc w:val="center"/>
            </w:pPr>
            <w:r>
              <w:t>110.83</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321.09</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t>100</w:t>
            </w:r>
          </w:p>
        </w:tc>
        <w:tc>
          <w:tcPr>
            <w:gridSpan w:val="3"/>
            <w:vAlign w:val="center"/>
          </w:tcPr>
          <w:p>
            <w:pPr>
              <w:jc w:val="center"/>
            </w:pPr>
            <w:r>
              <w:rPr>
                <w:b/>
              </w:rPr>
              <w:t>3分</w:t>
            </w:r>
          </w:p>
        </w:tc>
      </w:tr>
    </w:tbl>
    <w:p>
      <w:pPr>
        <w:rPr>
          <w:lang w:val="en-US"/>
        </w:rPr>
      </w:pPr>
      <w:bookmarkStart w:id="85" w:name="达标率表格"/>
      <w:bookmarkEnd w:id="85"/>
    </w:p>
    <w:p>
      <w:pPr>
        <w:pStyle w:val="2"/>
        <w:ind w:left="432" w:hanging="432"/>
      </w:pPr>
      <w:bookmarkStart w:id="86" w:name="_Toc513555457"/>
      <w:bookmarkStart w:id="87" w:name="_Toc9873"/>
      <w:r>
        <w:rPr>
          <w:rFonts w:hint="eastAsia"/>
        </w:rPr>
        <w:t>动态采光</w:t>
      </w:r>
      <w:bookmarkEnd w:id="86"/>
      <w:r>
        <w:rPr>
          <w:rFonts w:hint="eastAsia"/>
        </w:rPr>
        <w:t>统计图</w:t>
      </w:r>
      <w:bookmarkEnd w:id="87"/>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8" w:name="逐日统计图"/>
      <w:bookmarkEnd w:id="88"/>
      <w:r>
        <w:drawing>
          <wp:inline distT="0" distB="0" distL="0" distR="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9" w:name="逐月统计图"/>
      <w:bookmarkEnd w:id="89"/>
      <w:r>
        <w:drawing>
          <wp:inline distT="0" distB="0" distL="0" distR="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90" w:name="_Toc19898"/>
      <w:r>
        <w:rPr>
          <w:rFonts w:hint="eastAsia"/>
        </w:rPr>
        <w:t>评价结论</w:t>
      </w:r>
      <w:bookmarkEnd w:id="90"/>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91" w:name="动态评价指标"/>
            <w:r>
              <w:rPr>
                <w:rFonts w:hint="eastAsia"/>
              </w:rPr>
              <w:t>达标面积比例(%)</w:t>
            </w:r>
            <w:bookmarkEnd w:id="91"/>
          </w:p>
        </w:tc>
        <w:tc>
          <w:tcPr>
            <w:tcW w:w="2126" w:type="dxa"/>
            <w:shd w:val="clear" w:color="auto" w:fill="E6E6E6"/>
            <w:vAlign w:val="center"/>
          </w:tcPr>
          <w:p>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3" w:name="采光面积"/>
            <w:r>
              <w:t>431.92</w:t>
            </w:r>
            <w:bookmarkEnd w:id="93"/>
          </w:p>
        </w:tc>
        <w:tc>
          <w:tcPr>
            <w:tcW w:w="2528" w:type="dxa"/>
            <w:vAlign w:val="center"/>
          </w:tcPr>
          <w:p>
            <w:pPr>
              <w:pStyle w:val="3"/>
              <w:jc w:val="center"/>
            </w:pPr>
            <w:bookmarkStart w:id="94" w:name="平均时数"/>
            <w:r>
              <w:t>100</w:t>
            </w:r>
            <w:bookmarkEnd w:id="94"/>
          </w:p>
        </w:tc>
        <w:tc>
          <w:tcPr>
            <w:tcW w:w="2126" w:type="dxa"/>
            <w:vAlign w:val="center"/>
          </w:tcPr>
          <w:p>
            <w:pPr>
              <w:pStyle w:val="3"/>
              <w:jc w:val="center"/>
            </w:pPr>
            <w:bookmarkStart w:id="95" w:name="动态评价指标要求"/>
            <w:r>
              <w:rPr>
                <w:rFonts w:hint="eastAsia"/>
              </w:rPr>
              <w:t>60</w:t>
            </w:r>
            <w:bookmarkEnd w:id="95"/>
          </w:p>
        </w:tc>
        <w:tc>
          <w:tcPr>
            <w:tcW w:w="1855" w:type="dxa"/>
            <w:vAlign w:val="center"/>
          </w:tcPr>
          <w:p>
            <w:pPr>
              <w:pStyle w:val="3"/>
              <w:jc w:val="center"/>
            </w:pPr>
            <w:bookmarkStart w:id="96" w:name="动态采光得分"/>
            <w:r>
              <w:rPr>
                <w:rFonts w:hint="eastAsia"/>
              </w:rPr>
              <w:t>3</w:t>
            </w:r>
            <w:bookmarkEnd w:id="96"/>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40583A0C"/>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058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autoRedefine/>
    <w:qFormat/>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autoRedefine/>
    <w:qFormat/>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autoRedefine/>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FollowedHyperlink"/>
    <w:autoRedefine/>
    <w:qFormat/>
    <w:uiPriority w:val="0"/>
    <w:rPr>
      <w:color w:val="800080"/>
      <w:u w:val="single"/>
    </w:rPr>
  </w:style>
  <w:style w:type="character" w:styleId="27">
    <w:name w:val="Hyperlink"/>
    <w:uiPriority w:val="99"/>
    <w:rPr>
      <w:color w:val="0000FF"/>
      <w:u w:val="single"/>
    </w:rPr>
  </w:style>
  <w:style w:type="character" w:styleId="28">
    <w:name w:val="annotation reference"/>
    <w:autoRedefine/>
    <w:qFormat/>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autoRedefine/>
    <w:qFormat/>
    <w:uiPriority w:val="0"/>
    <w:rPr>
      <w:rFonts w:ascii="宋体" w:hAnsi="宋体" w:eastAsia="宋体"/>
      <w:kern w:val="2"/>
      <w:sz w:val="24"/>
      <w:szCs w:val="24"/>
      <w:lang w:val="en-US" w:eastAsia="zh-CN" w:bidi="ar-SA"/>
    </w:rPr>
  </w:style>
  <w:style w:type="character" w:customStyle="1" w:styleId="35">
    <w:name w:val="Char Char"/>
    <w:autoRedefine/>
    <w:qFormat/>
    <w:locked/>
    <w:uiPriority w:val="0"/>
    <w:rPr>
      <w:rFonts w:ascii="宋体" w:hAnsi="宋体" w:eastAsia="宋体"/>
      <w:kern w:val="2"/>
      <w:sz w:val="24"/>
      <w:szCs w:val="24"/>
      <w:lang w:val="en-US" w:eastAsia="zh-CN" w:bidi="ar-SA"/>
    </w:rPr>
  </w:style>
  <w:style w:type="character" w:customStyle="1" w:styleId="36">
    <w:name w:val="批注文字 字符"/>
    <w:link w:val="13"/>
    <w:autoRedefine/>
    <w:qFormat/>
    <w:uiPriority w:val="0"/>
    <w:rPr>
      <w:sz w:val="18"/>
      <w:lang w:val="en-GB"/>
    </w:rPr>
  </w:style>
  <w:style w:type="character" w:customStyle="1" w:styleId="37">
    <w:name w:val="批注主题 字符"/>
    <w:link w:val="21"/>
    <w:autoRedefine/>
    <w:qFormat/>
    <w:uiPriority w:val="0"/>
    <w:rPr>
      <w:b/>
      <w:bCs/>
      <w:sz w:val="18"/>
      <w:lang w:val="en-GB"/>
    </w:rPr>
  </w:style>
  <w:style w:type="character" w:customStyle="1" w:styleId="38">
    <w:name w:val="批注框文本 字符"/>
    <w:link w:val="16"/>
    <w:autoRedefine/>
    <w:qFormat/>
    <w:uiPriority w:val="0"/>
    <w:rPr>
      <w:sz w:val="18"/>
      <w:szCs w:val="18"/>
      <w:lang w:val="en-GB"/>
    </w:rPr>
  </w:style>
  <w:style w:type="paragraph" w:styleId="39">
    <w:name w:val="List Paragraph"/>
    <w:basedOn w:val="1"/>
    <w:autoRedefine/>
    <w:qFormat/>
    <w:uiPriority w:val="34"/>
    <w:pPr>
      <w:ind w:firstLine="420" w:firstLineChars="200"/>
    </w:pPr>
  </w:style>
  <w:style w:type="character" w:customStyle="1" w:styleId="40">
    <w:name w:val="标题 1 字符"/>
    <w:basedOn w:val="24"/>
    <w:link w:val="2"/>
    <w:autoRedefine/>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datastoreItem>
</file>

<file path=docProps/app.xml><?xml version="1.0" encoding="utf-8"?>
<Properties xmlns="http://schemas.openxmlformats.org/officeDocument/2006/extended-properties" xmlns:vt="http://schemas.openxmlformats.org/officeDocument/2006/docPropsVTypes">
  <Template>tmp9.dotx</Template>
  <Pages>8</Pages>
  <Words>3661</Words>
  <Characters>4445</Characters>
  <Lines>50</Lines>
  <Paragraphs>14</Paragraphs>
  <TotalTime>0</TotalTime>
  <ScaleCrop>false</ScaleCrop>
  <LinksUpToDate>false</LinksUpToDate>
  <CharactersWithSpaces>4555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2024-02-20T15:57:00Z</dcterms:created>
  <dc:creator>RBbird.</dc:creator>
  <cp:lastModifiedBy>RBbird.</cp:lastModifiedBy>
  <dcterms:modified xsi:type="dcterms:W3CDTF">2024-02-20T15:58:10Z</dcterms:modified>
  <dc:title>公共建筑采光达标率计算书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93813A7BD2174DBA910CBACF85163192_11</vt:lpwstr>
  </property>
  <property fmtid="{D5CDD505-2E9C-101B-9397-08002B2CF9AE}" pid="3" name="KSOProductBuildVer">
    <vt:lpwstr>2052-12.1.0.16250</vt:lpwstr>
  </property>
</Properties>
</file>