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阳泉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2024年1月9日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T13513590990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_Toc7014 </w:instrText>
      </w:r>
      <w:r>
        <w:rPr>
          <w:rFonts w:ascii="宋体" w:hAnsi="宋体"/>
          <w:bCs w:val="0"/>
          <w:caps/>
        </w:rPr>
        <w:fldChar w:fldCharType="separate"/>
      </w:r>
      <w:r>
        <w:rPr>
          <w:rFonts w:hint="eastAsia"/>
        </w:rPr>
        <w:t>1 住区概况</w:t>
      </w:r>
      <w:r>
        <w:tab/>
      </w:r>
      <w:r>
        <w:fldChar w:fldCharType="begin"/>
      </w:r>
      <w:r>
        <w:instrText xml:space="preserve"> PAGEREF _Toc7014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_Toc22424 </w:instrText>
      </w:r>
      <w:r>
        <w:fldChar w:fldCharType="separate"/>
      </w:r>
      <w:r>
        <w:rPr>
          <w:rFonts w:hint="eastAsia"/>
        </w:rPr>
        <w:t>2 标准依据</w:t>
      </w:r>
      <w:r>
        <w:tab/>
      </w:r>
      <w:r>
        <w:fldChar w:fldCharType="begin"/>
      </w:r>
      <w:r>
        <w:instrText xml:space="preserve"> PAGEREF _Toc22424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_Toc30401 </w:instrText>
      </w:r>
      <w:r>
        <w:fldChar w:fldCharType="separate"/>
      </w:r>
      <w:r>
        <w:rPr>
          <w:rFonts w:hint="eastAsia"/>
        </w:rPr>
        <w:t>3 计算方法</w:t>
      </w:r>
      <w:r>
        <w:tab/>
      </w:r>
      <w:r>
        <w:fldChar w:fldCharType="begin"/>
      </w:r>
      <w:r>
        <w:instrText xml:space="preserve"> PAGEREF _Toc30401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_Toc6331 </w:instrText>
      </w:r>
      <w:r>
        <w:fldChar w:fldCharType="separate"/>
      </w:r>
      <w:r>
        <w:rPr>
          <w:rFonts w:hint="eastAsia"/>
        </w:rPr>
        <w:t>4 计算参数</w:t>
      </w:r>
      <w:r>
        <w:tab/>
      </w:r>
      <w:r>
        <w:fldChar w:fldCharType="begin"/>
      </w:r>
      <w:r>
        <w:instrText xml:space="preserve"> PAGEREF _Toc6331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_Toc1123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_Toc1123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_Toc7383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_Toc7383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_Toc4260 </w:instrText>
      </w:r>
      <w:r>
        <w:fldChar w:fldCharType="separate"/>
      </w:r>
      <w:r>
        <w:rPr>
          <w:rFonts w:hint="eastAsia"/>
        </w:rPr>
        <w:t>5 指标概览</w:t>
      </w:r>
      <w:r>
        <w:tab/>
      </w:r>
      <w:r>
        <w:fldChar w:fldCharType="begin"/>
      </w:r>
      <w:r>
        <w:instrText xml:space="preserve"> PAGEREF _Toc4260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_Toc20339 </w:instrText>
      </w:r>
      <w:r>
        <w:fldChar w:fldCharType="separate"/>
      </w:r>
      <w:r>
        <w:rPr>
          <w:rFonts w:hint="eastAsia"/>
          <w:lang w:val="en-GB"/>
        </w:rPr>
        <w:t xml:space="preserve">5.1 </w:t>
      </w:r>
      <w:r>
        <w:rPr>
          <w:rFonts w:hint="eastAsia"/>
        </w:rPr>
        <w:t>建筑列表</w:t>
      </w:r>
      <w:r>
        <w:tab/>
      </w:r>
      <w:r>
        <w:fldChar w:fldCharType="begin"/>
      </w:r>
      <w:r>
        <w:instrText xml:space="preserve"> PAGEREF _Toc20339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_Toc3922 </w:instrText>
      </w:r>
      <w:r>
        <w:fldChar w:fldCharType="separate"/>
      </w:r>
      <w:r>
        <w:rPr>
          <w:rFonts w:hint="eastAsia"/>
          <w:lang w:val="en-GB"/>
        </w:rPr>
        <w:t xml:space="preserve">5.2 </w:t>
      </w:r>
      <w:r>
        <w:rPr>
          <w:rFonts w:hint="eastAsia"/>
        </w:rPr>
        <w:t>住区指标</w:t>
      </w:r>
      <w:r>
        <w:tab/>
      </w:r>
      <w:r>
        <w:fldChar w:fldCharType="begin"/>
      </w:r>
      <w:r>
        <w:instrText xml:space="preserve"> PAGEREF _Toc3922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_Toc14844 </w:instrText>
      </w:r>
      <w:r>
        <w:fldChar w:fldCharType="separate"/>
      </w:r>
      <w:r>
        <w:rPr>
          <w:rFonts w:hint="eastAsia"/>
        </w:rPr>
        <w:t>6 计算结果</w:t>
      </w:r>
      <w:r>
        <w:tab/>
      </w:r>
      <w:r>
        <w:fldChar w:fldCharType="begin"/>
      </w:r>
      <w:r>
        <w:instrText xml:space="preserve"> PAGEREF _Toc14844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7014"/>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阳泉</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37.85</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113.72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2424"/>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30401"/>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6331"/>
      <w:r>
        <w:rPr>
          <w:rFonts w:hint="eastAsia"/>
        </w:rPr>
        <w:t>计算参数</w:t>
      </w:r>
      <w:bookmarkEnd w:id="26"/>
    </w:p>
    <w:p>
      <w:pPr>
        <w:pStyle w:val="4"/>
      </w:pPr>
      <w:bookmarkStart w:id="27" w:name="_Toc1123"/>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22.0</w:t>
            </w:r>
          </w:p>
        </w:tc>
        <w:tc>
          <w:tcPr>
            <w:vAlign w:val="center"/>
          </w:tcPr>
          <w:p>
            <w:pPr>
              <w:jc w:val="center"/>
            </w:pPr>
            <w:r>
              <w:t>28</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restart"/>
            <w:vAlign w:val="center"/>
          </w:tcPr>
          <w:p>
            <w:pPr>
              <w:jc w:val="center"/>
            </w:pPr>
            <w:r>
              <w:t>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21.3</w:t>
            </w:r>
          </w:p>
        </w:tc>
        <w:tc>
          <w:tcPr>
            <w:vAlign w:val="center"/>
          </w:tcPr>
          <w:p>
            <w:pPr>
              <w:jc w:val="center"/>
            </w:pPr>
            <w:r>
              <w:t>26</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20.8</w:t>
            </w:r>
          </w:p>
        </w:tc>
        <w:tc>
          <w:tcPr>
            <w:vAlign w:val="center"/>
          </w:tcPr>
          <w:p>
            <w:pPr>
              <w:jc w:val="center"/>
            </w:pPr>
            <w:r>
              <w:t>24</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20.5</w:t>
            </w:r>
          </w:p>
        </w:tc>
        <w:tc>
          <w:tcPr>
            <w:vAlign w:val="center"/>
          </w:tcPr>
          <w:p>
            <w:pPr>
              <w:jc w:val="center"/>
            </w:pPr>
            <w:r>
              <w:t>23</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20.5</w:t>
            </w:r>
          </w:p>
        </w:tc>
        <w:tc>
          <w:tcPr>
            <w:vAlign w:val="center"/>
          </w:tcPr>
          <w:p>
            <w:pPr>
              <w:jc w:val="center"/>
            </w:pPr>
            <w:r>
              <w:t>21</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20.8</w:t>
            </w:r>
          </w:p>
        </w:tc>
        <w:tc>
          <w:tcPr>
            <w:vAlign w:val="center"/>
          </w:tcPr>
          <w:p>
            <w:pPr>
              <w:jc w:val="center"/>
            </w:pPr>
            <w:r>
              <w:t>20</w:t>
            </w:r>
          </w:p>
        </w:tc>
        <w:tc>
          <w:tcPr>
            <w:vAlign w:val="center"/>
          </w:tcPr>
          <w:p>
            <w:pPr>
              <w:jc w:val="center"/>
            </w:pPr>
            <w:r>
              <w:t>36.11</w:t>
            </w:r>
          </w:p>
        </w:tc>
        <w:tc>
          <w:tcPr>
            <w:vAlign w:val="center"/>
          </w:tcPr>
          <w:p>
            <w:pPr>
              <w:jc w:val="center"/>
            </w:pPr>
            <w:r>
              <w:t>36.11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21.3</w:t>
            </w:r>
          </w:p>
        </w:tc>
        <w:tc>
          <w:tcPr>
            <w:vAlign w:val="center"/>
          </w:tcPr>
          <w:p>
            <w:pPr>
              <w:jc w:val="center"/>
            </w:pPr>
            <w:r>
              <w:t>20</w:t>
            </w:r>
          </w:p>
        </w:tc>
        <w:tc>
          <w:tcPr>
            <w:vAlign w:val="center"/>
          </w:tcPr>
          <w:p>
            <w:pPr>
              <w:jc w:val="center"/>
            </w:pPr>
            <w:r>
              <w:t>158.33</w:t>
            </w:r>
          </w:p>
        </w:tc>
        <w:tc>
          <w:tcPr>
            <w:vAlign w:val="center"/>
          </w:tcPr>
          <w:p>
            <w:pPr>
              <w:jc w:val="center"/>
            </w:pPr>
            <w:r>
              <w:t>111.11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22.1</w:t>
            </w:r>
          </w:p>
        </w:tc>
        <w:tc>
          <w:tcPr>
            <w:vAlign w:val="center"/>
          </w:tcPr>
          <w:p>
            <w:pPr>
              <w:jc w:val="center"/>
            </w:pPr>
            <w:r>
              <w:t>19</w:t>
            </w:r>
          </w:p>
        </w:tc>
        <w:tc>
          <w:tcPr>
            <w:vAlign w:val="center"/>
          </w:tcPr>
          <w:p>
            <w:pPr>
              <w:jc w:val="center"/>
            </w:pPr>
            <w:r>
              <w:t>297.22</w:t>
            </w:r>
          </w:p>
        </w:tc>
        <w:tc>
          <w:tcPr>
            <w:vAlign w:val="center"/>
          </w:tcPr>
          <w:p>
            <w:pPr>
              <w:jc w:val="center"/>
            </w:pPr>
            <w:r>
              <w:t>183.33</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23.2</w:t>
            </w:r>
          </w:p>
        </w:tc>
        <w:tc>
          <w:tcPr>
            <w:vAlign w:val="center"/>
          </w:tcPr>
          <w:p>
            <w:pPr>
              <w:jc w:val="center"/>
            </w:pPr>
            <w:r>
              <w:t>18</w:t>
            </w:r>
          </w:p>
        </w:tc>
        <w:tc>
          <w:tcPr>
            <w:vAlign w:val="center"/>
          </w:tcPr>
          <w:p>
            <w:pPr>
              <w:jc w:val="center"/>
            </w:pPr>
            <w:r>
              <w:t>444.44</w:t>
            </w:r>
          </w:p>
        </w:tc>
        <w:tc>
          <w:tcPr>
            <w:vAlign w:val="center"/>
          </w:tcPr>
          <w:p>
            <w:pPr>
              <w:jc w:val="center"/>
            </w:pPr>
            <w:r>
              <w:t>250.00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24.5</w:t>
            </w:r>
          </w:p>
        </w:tc>
        <w:tc>
          <w:tcPr>
            <w:vAlign w:val="center"/>
          </w:tcPr>
          <w:p>
            <w:pPr>
              <w:jc w:val="center"/>
            </w:pPr>
            <w:r>
              <w:t>18</w:t>
            </w:r>
          </w:p>
        </w:tc>
        <w:tc>
          <w:tcPr>
            <w:vAlign w:val="center"/>
          </w:tcPr>
          <w:p>
            <w:pPr>
              <w:jc w:val="center"/>
            </w:pPr>
            <w:r>
              <w:t>580.56</w:t>
            </w:r>
          </w:p>
        </w:tc>
        <w:tc>
          <w:tcPr>
            <w:vAlign w:val="center"/>
          </w:tcPr>
          <w:p>
            <w:pPr>
              <w:jc w:val="center"/>
            </w:pPr>
            <w:r>
              <w:t>308.33</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25.8</w:t>
            </w:r>
          </w:p>
        </w:tc>
        <w:tc>
          <w:tcPr>
            <w:vAlign w:val="center"/>
          </w:tcPr>
          <w:p>
            <w:pPr>
              <w:jc w:val="center"/>
            </w:pPr>
            <w:r>
              <w:t>18</w:t>
            </w:r>
          </w:p>
        </w:tc>
        <w:tc>
          <w:tcPr>
            <w:vAlign w:val="center"/>
          </w:tcPr>
          <w:p>
            <w:pPr>
              <w:jc w:val="center"/>
            </w:pPr>
            <w:r>
              <w:t>686.11</w:t>
            </w:r>
          </w:p>
        </w:tc>
        <w:tc>
          <w:tcPr>
            <w:vAlign w:val="center"/>
          </w:tcPr>
          <w:p>
            <w:pPr>
              <w:jc w:val="center"/>
            </w:pPr>
            <w:r>
              <w:t>350.00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27.0</w:t>
            </w:r>
          </w:p>
        </w:tc>
        <w:tc>
          <w:tcPr>
            <w:vAlign w:val="center"/>
          </w:tcPr>
          <w:p>
            <w:pPr>
              <w:jc w:val="center"/>
            </w:pPr>
            <w:r>
              <w:t>18</w:t>
            </w:r>
          </w:p>
        </w:tc>
        <w:tc>
          <w:tcPr>
            <w:vAlign w:val="center"/>
          </w:tcPr>
          <w:p>
            <w:pPr>
              <w:jc w:val="center"/>
            </w:pPr>
            <w:r>
              <w:t>747.22</w:t>
            </w:r>
          </w:p>
        </w:tc>
        <w:tc>
          <w:tcPr>
            <w:vAlign w:val="center"/>
          </w:tcPr>
          <w:p>
            <w:pPr>
              <w:jc w:val="center"/>
            </w:pPr>
            <w:r>
              <w:t>372.22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28.1</w:t>
            </w:r>
          </w:p>
        </w:tc>
        <w:tc>
          <w:tcPr>
            <w:vAlign w:val="center"/>
          </w:tcPr>
          <w:p>
            <w:pPr>
              <w:jc w:val="center"/>
            </w:pPr>
            <w:r>
              <w:t>20</w:t>
            </w:r>
          </w:p>
        </w:tc>
        <w:tc>
          <w:tcPr>
            <w:vAlign w:val="center"/>
          </w:tcPr>
          <w:p>
            <w:pPr>
              <w:jc w:val="center"/>
            </w:pPr>
            <w:r>
              <w:t>750.00</w:t>
            </w:r>
          </w:p>
        </w:tc>
        <w:tc>
          <w:tcPr>
            <w:vAlign w:val="center"/>
          </w:tcPr>
          <w:p>
            <w:pPr>
              <w:jc w:val="center"/>
            </w:pPr>
            <w:r>
              <w:t>372.22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28.9</w:t>
            </w:r>
          </w:p>
        </w:tc>
        <w:tc>
          <w:tcPr>
            <w:vAlign w:val="center"/>
          </w:tcPr>
          <w:p>
            <w:pPr>
              <w:jc w:val="center"/>
            </w:pPr>
            <w:r>
              <w:t>22</w:t>
            </w:r>
          </w:p>
        </w:tc>
        <w:tc>
          <w:tcPr>
            <w:vAlign w:val="center"/>
          </w:tcPr>
          <w:p>
            <w:pPr>
              <w:jc w:val="center"/>
            </w:pPr>
            <w:r>
              <w:t>700.00</w:t>
            </w:r>
          </w:p>
        </w:tc>
        <w:tc>
          <w:tcPr>
            <w:vAlign w:val="center"/>
          </w:tcPr>
          <w:p>
            <w:pPr>
              <w:jc w:val="center"/>
            </w:pPr>
            <w:r>
              <w:t>352.78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29.3</w:t>
            </w:r>
          </w:p>
        </w:tc>
        <w:tc>
          <w:tcPr>
            <w:vAlign w:val="center"/>
          </w:tcPr>
          <w:p>
            <w:pPr>
              <w:jc w:val="center"/>
            </w:pPr>
            <w:r>
              <w:t>26</w:t>
            </w:r>
          </w:p>
        </w:tc>
        <w:tc>
          <w:tcPr>
            <w:vAlign w:val="center"/>
          </w:tcPr>
          <w:p>
            <w:pPr>
              <w:jc w:val="center"/>
            </w:pPr>
            <w:r>
              <w:t>600.00</w:t>
            </w:r>
          </w:p>
        </w:tc>
        <w:tc>
          <w:tcPr>
            <w:vAlign w:val="center"/>
          </w:tcPr>
          <w:p>
            <w:pPr>
              <w:jc w:val="center"/>
            </w:pPr>
            <w:r>
              <w:t>316.67</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29.3</w:t>
            </w:r>
          </w:p>
        </w:tc>
        <w:tc>
          <w:tcPr>
            <w:vAlign w:val="center"/>
          </w:tcPr>
          <w:p>
            <w:pPr>
              <w:jc w:val="center"/>
            </w:pPr>
            <w:r>
              <w:t>30</w:t>
            </w:r>
          </w:p>
        </w:tc>
        <w:tc>
          <w:tcPr>
            <w:vAlign w:val="center"/>
          </w:tcPr>
          <w:p>
            <w:pPr>
              <w:jc w:val="center"/>
            </w:pPr>
            <w:r>
              <w:t>469.44</w:t>
            </w:r>
          </w:p>
        </w:tc>
        <w:tc>
          <w:tcPr>
            <w:vAlign w:val="center"/>
          </w:tcPr>
          <w:p>
            <w:pPr>
              <w:jc w:val="center"/>
            </w:pPr>
            <w:r>
              <w:t>261.11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29.1</w:t>
            </w:r>
          </w:p>
        </w:tc>
        <w:tc>
          <w:tcPr>
            <w:vAlign w:val="center"/>
          </w:tcPr>
          <w:p>
            <w:pPr>
              <w:jc w:val="center"/>
            </w:pPr>
            <w:r>
              <w:t>35</w:t>
            </w:r>
          </w:p>
        </w:tc>
        <w:tc>
          <w:tcPr>
            <w:vAlign w:val="center"/>
          </w:tcPr>
          <w:p>
            <w:pPr>
              <w:jc w:val="center"/>
            </w:pPr>
            <w:r>
              <w:t>322.22</w:t>
            </w:r>
          </w:p>
        </w:tc>
        <w:tc>
          <w:tcPr>
            <w:vAlign w:val="center"/>
          </w:tcPr>
          <w:p>
            <w:pPr>
              <w:jc w:val="center"/>
            </w:pPr>
            <w:r>
              <w:t>194.44</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28.6</w:t>
            </w:r>
          </w:p>
        </w:tc>
        <w:tc>
          <w:tcPr>
            <w:vAlign w:val="center"/>
          </w:tcPr>
          <w:p>
            <w:pPr>
              <w:jc w:val="center"/>
            </w:pPr>
            <w:r>
              <w:t>40</w:t>
            </w:r>
          </w:p>
        </w:tc>
        <w:tc>
          <w:tcPr>
            <w:vAlign w:val="center"/>
          </w:tcPr>
          <w:p>
            <w:pPr>
              <w:jc w:val="center"/>
            </w:pPr>
            <w:r>
              <w:t>177.78</w:t>
            </w:r>
          </w:p>
        </w:tc>
        <w:tc>
          <w:tcPr>
            <w:vAlign w:val="center"/>
          </w:tcPr>
          <w:p>
            <w:pPr>
              <w:jc w:val="center"/>
            </w:pPr>
            <w:r>
              <w:t>116.67</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28.0</w:t>
            </w:r>
          </w:p>
        </w:tc>
        <w:tc>
          <w:tcPr>
            <w:vAlign w:val="center"/>
          </w:tcPr>
          <w:p>
            <w:pPr>
              <w:jc w:val="center"/>
            </w:pPr>
            <w:r>
              <w:t>44</w:t>
            </w:r>
          </w:p>
        </w:tc>
        <w:tc>
          <w:tcPr>
            <w:vAlign w:val="center"/>
          </w:tcPr>
          <w:p>
            <w:pPr>
              <w:jc w:val="center"/>
            </w:pPr>
            <w:r>
              <w:t>52.78</w:t>
            </w:r>
          </w:p>
        </w:tc>
        <w:tc>
          <w:tcPr>
            <w:vAlign w:val="center"/>
          </w:tcPr>
          <w:p>
            <w:pPr>
              <w:jc w:val="center"/>
            </w:pPr>
            <w:r>
              <w:t>36.11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27.3</w:t>
            </w:r>
          </w:p>
        </w:tc>
        <w:tc>
          <w:tcPr>
            <w:vAlign w:val="center"/>
          </w:tcPr>
          <w:p>
            <w:pPr>
              <w:jc w:val="center"/>
            </w:pPr>
            <w:r>
              <w:t>47</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26.6</w:t>
            </w:r>
          </w:p>
        </w:tc>
        <w:tc>
          <w:tcPr>
            <w:vAlign w:val="center"/>
          </w:tcPr>
          <w:p>
            <w:pPr>
              <w:jc w:val="center"/>
            </w:pPr>
            <w:r>
              <w:t>49</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26.0</w:t>
            </w:r>
          </w:p>
        </w:tc>
        <w:tc>
          <w:tcPr>
            <w:vAlign w:val="center"/>
          </w:tcPr>
          <w:p>
            <w:pPr>
              <w:jc w:val="center"/>
            </w:pPr>
            <w:r>
              <w:t>49</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25.3</w:t>
            </w:r>
          </w:p>
        </w:tc>
        <w:tc>
          <w:tcPr>
            <w:vAlign w:val="center"/>
          </w:tcPr>
          <w:p>
            <w:pPr>
              <w:jc w:val="center"/>
            </w:pPr>
            <w:r>
              <w:t>48</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24.8</w:t>
            </w:r>
          </w:p>
        </w:tc>
        <w:tc>
          <w:tcPr>
            <w:vAlign w:val="center"/>
          </w:tcPr>
          <w:p>
            <w:pPr>
              <w:jc w:val="center"/>
            </w:pPr>
            <w:r>
              <w:t>47</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25.0</w:t>
            </w:r>
          </w:p>
        </w:tc>
        <w:tc>
          <w:tcPr>
            <w:vAlign w:val="center"/>
          </w:tcPr>
          <w:p>
            <w:pPr>
              <w:jc w:val="center"/>
            </w:pPr>
            <w:r>
              <w:t>30</w:t>
            </w:r>
          </w:p>
        </w:tc>
        <w:tc>
          <w:tcPr>
            <w:vAlign w:val="center"/>
          </w:tcPr>
          <w:p>
            <w:pPr>
              <w:jc w:val="center"/>
            </w:pPr>
            <w:r>
              <w:t>250.93</w:t>
            </w:r>
          </w:p>
        </w:tc>
        <w:tc>
          <w:tcPr>
            <w:vAlign w:val="center"/>
          </w:tcPr>
          <w:p>
            <w:pPr>
              <w:jc w:val="center"/>
            </w:pPr>
            <w:r>
              <w:t>135.88</w:t>
            </w:r>
          </w:p>
        </w:tc>
        <w:tc>
          <w:tcPr>
            <w:vAlign w:val="center"/>
          </w:tcPr>
          <w:p>
            <w:pPr>
              <w:jc w:val="center"/>
            </w:pPr>
            <w:r>
              <w:t>1.8</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7383"/>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0" w:name="蒸发量参数"/>
      <w:bookmarkEnd w:id="30"/>
    </w:p>
    <w:p>
      <w:pPr>
        <w:pStyle w:val="2"/>
      </w:pPr>
      <w:bookmarkStart w:id="31" w:name="_Toc4260"/>
      <w:r>
        <w:rPr>
          <w:rFonts w:hint="eastAsia"/>
        </w:rPr>
        <w:t>指标概览</w:t>
      </w:r>
      <w:bookmarkEnd w:id="31"/>
    </w:p>
    <w:p>
      <w:pPr>
        <w:pStyle w:val="4"/>
      </w:pPr>
      <w:bookmarkStart w:id="32" w:name="_Toc20339"/>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3922"/>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3725.83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483.68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14844"/>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25.0</w:t>
            </w:r>
          </w:p>
        </w:tc>
        <w:tc>
          <w:tcPr>
            <w:vAlign w:val="center"/>
          </w:tcPr>
          <w:p>
            <w:r>
              <w:t>0.0</w:t>
            </w:r>
          </w:p>
        </w:tc>
        <w:tc>
          <w:tcPr>
            <w:vAlign w:val="center"/>
          </w:tcPr>
          <w:p>
            <w:r>
              <w:t>5.8</w:t>
            </w:r>
          </w:p>
        </w:tc>
        <w:tc>
          <w:tcPr>
            <w:vAlign w:val="center"/>
          </w:tcPr>
          <w:p>
            <w:r>
              <w:t>0.0</w:t>
            </w:r>
          </w:p>
        </w:tc>
        <w:tc>
          <w:tcPr>
            <w:vAlign w:val="center"/>
          </w:tcPr>
          <w:p>
            <w:r>
              <w:t>19.2</w:t>
            </w:r>
          </w:p>
        </w:tc>
        <w:tc>
          <w:tcPr>
            <w:vAlign w:val="center"/>
          </w:tcPr>
          <w:p>
            <w:r>
              <w:t>24.5</w:t>
            </w:r>
          </w:p>
        </w:tc>
        <w:tc>
          <w:tcPr>
            <w:vAlign w:val="center"/>
          </w:tcPr>
          <w:p>
            <w:r>
              <w:t>-5.274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25.0</w:t>
            </w:r>
          </w:p>
        </w:tc>
        <w:tc>
          <w:tcPr>
            <w:vAlign w:val="center"/>
          </w:tcPr>
          <w:p>
            <w:r>
              <w:t>0.0</w:t>
            </w:r>
          </w:p>
        </w:tc>
        <w:tc>
          <w:tcPr>
            <w:vAlign w:val="center"/>
          </w:tcPr>
          <w:p>
            <w:r>
              <w:t>5.8</w:t>
            </w:r>
          </w:p>
        </w:tc>
        <w:tc>
          <w:tcPr>
            <w:vAlign w:val="center"/>
          </w:tcPr>
          <w:p>
            <w:r>
              <w:t>0.0</w:t>
            </w:r>
          </w:p>
        </w:tc>
        <w:tc>
          <w:tcPr>
            <w:vAlign w:val="center"/>
          </w:tcPr>
          <w:p>
            <w:r>
              <w:t>19.2</w:t>
            </w:r>
          </w:p>
        </w:tc>
        <w:tc>
          <w:tcPr>
            <w:vAlign w:val="center"/>
          </w:tcPr>
          <w:p>
            <w:r>
              <w:t>25.8</w:t>
            </w:r>
          </w:p>
        </w:tc>
        <w:tc>
          <w:tcPr>
            <w:vAlign w:val="center"/>
          </w:tcPr>
          <w:p>
            <w:r>
              <w:t>-6.582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25.0</w:t>
            </w:r>
          </w:p>
        </w:tc>
        <w:tc>
          <w:tcPr>
            <w:vAlign w:val="center"/>
          </w:tcPr>
          <w:p>
            <w:r>
              <w:t>0.0</w:t>
            </w:r>
          </w:p>
        </w:tc>
        <w:tc>
          <w:tcPr>
            <w:vAlign w:val="center"/>
          </w:tcPr>
          <w:p>
            <w:r>
              <w:t>6.6</w:t>
            </w:r>
          </w:p>
        </w:tc>
        <w:tc>
          <w:tcPr>
            <w:vAlign w:val="center"/>
          </w:tcPr>
          <w:p>
            <w:r>
              <w:t>0.0</w:t>
            </w:r>
          </w:p>
        </w:tc>
        <w:tc>
          <w:tcPr>
            <w:vAlign w:val="center"/>
          </w:tcPr>
          <w:p>
            <w:r>
              <w:t>18.4</w:t>
            </w:r>
          </w:p>
        </w:tc>
        <w:tc>
          <w:tcPr>
            <w:vAlign w:val="center"/>
          </w:tcPr>
          <w:p>
            <w:r>
              <w:t>27.0</w:t>
            </w:r>
          </w:p>
        </w:tc>
        <w:tc>
          <w:tcPr>
            <w:vAlign w:val="center"/>
          </w:tcPr>
          <w:p>
            <w:r>
              <w:t>-8.600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25.0</w:t>
            </w:r>
          </w:p>
        </w:tc>
        <w:tc>
          <w:tcPr>
            <w:vAlign w:val="center"/>
          </w:tcPr>
          <w:p>
            <w:r>
              <w:t>0.0</w:t>
            </w:r>
          </w:p>
        </w:tc>
        <w:tc>
          <w:tcPr>
            <w:vAlign w:val="center"/>
          </w:tcPr>
          <w:p>
            <w:r>
              <w:t>6.5</w:t>
            </w:r>
          </w:p>
        </w:tc>
        <w:tc>
          <w:tcPr>
            <w:vAlign w:val="center"/>
          </w:tcPr>
          <w:p>
            <w:r>
              <w:t>0.0</w:t>
            </w:r>
            <w:bookmarkStart w:id="39" w:name="_GoBack"/>
            <w:bookmarkEnd w:id="39"/>
          </w:p>
        </w:tc>
        <w:tc>
          <w:tcPr>
            <w:vAlign w:val="center"/>
          </w:tcPr>
          <w:p>
            <w:r>
              <w:t>18.6</w:t>
            </w:r>
          </w:p>
        </w:tc>
        <w:tc>
          <w:tcPr>
            <w:vAlign w:val="center"/>
          </w:tcPr>
          <w:p>
            <w:r>
              <w:t>28.1</w:t>
            </w:r>
          </w:p>
        </w:tc>
        <w:tc>
          <w:tcPr>
            <w:vAlign w:val="center"/>
          </w:tcPr>
          <w:p>
            <w:r>
              <w:t>-9.532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25.0</w:t>
            </w:r>
          </w:p>
        </w:tc>
        <w:tc>
          <w:tcPr>
            <w:vAlign w:val="center"/>
          </w:tcPr>
          <w:p>
            <w:r>
              <w:t>0.0</w:t>
            </w:r>
          </w:p>
        </w:tc>
        <w:tc>
          <w:tcPr>
            <w:vAlign w:val="center"/>
          </w:tcPr>
          <w:p>
            <w:r>
              <w:t>6.3</w:t>
            </w:r>
          </w:p>
        </w:tc>
        <w:tc>
          <w:tcPr>
            <w:vAlign w:val="center"/>
          </w:tcPr>
          <w:p>
            <w:r>
              <w:t>0.0</w:t>
            </w:r>
          </w:p>
        </w:tc>
        <w:tc>
          <w:tcPr>
            <w:vAlign w:val="center"/>
          </w:tcPr>
          <w:p>
            <w:r>
              <w:t>18.7</w:t>
            </w:r>
          </w:p>
        </w:tc>
        <w:tc>
          <w:tcPr>
            <w:vAlign w:val="center"/>
          </w:tcPr>
          <w:p>
            <w:r>
              <w:t>28.9</w:t>
            </w:r>
          </w:p>
        </w:tc>
        <w:tc>
          <w:tcPr>
            <w:vAlign w:val="center"/>
          </w:tcPr>
          <w:p>
            <w:r>
              <w:t>-10.159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25.0</w:t>
            </w:r>
          </w:p>
        </w:tc>
        <w:tc>
          <w:tcPr>
            <w:vAlign w:val="center"/>
          </w:tcPr>
          <w:p>
            <w:r>
              <w:t>0.0</w:t>
            </w:r>
          </w:p>
        </w:tc>
        <w:tc>
          <w:tcPr>
            <w:vAlign w:val="center"/>
          </w:tcPr>
          <w:p>
            <w:r>
              <w:t>6.0</w:t>
            </w:r>
          </w:p>
        </w:tc>
        <w:tc>
          <w:tcPr>
            <w:vAlign w:val="center"/>
          </w:tcPr>
          <w:p>
            <w:r>
              <w:t>0.0</w:t>
            </w:r>
          </w:p>
        </w:tc>
        <w:tc>
          <w:tcPr>
            <w:vAlign w:val="center"/>
          </w:tcPr>
          <w:p>
            <w:r>
              <w:t>19.1</w:t>
            </w:r>
          </w:p>
        </w:tc>
        <w:tc>
          <w:tcPr>
            <w:vAlign w:val="center"/>
          </w:tcPr>
          <w:p>
            <w:r>
              <w:t>29.3</w:t>
            </w:r>
          </w:p>
        </w:tc>
        <w:tc>
          <w:tcPr>
            <w:vAlign w:val="center"/>
          </w:tcPr>
          <w:p>
            <w:r>
              <w:t>-10.237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25.0</w:t>
            </w:r>
          </w:p>
        </w:tc>
        <w:tc>
          <w:tcPr>
            <w:vAlign w:val="center"/>
          </w:tcPr>
          <w:p>
            <w:r>
              <w:t>0.0</w:t>
            </w:r>
          </w:p>
        </w:tc>
        <w:tc>
          <w:tcPr>
            <w:vAlign w:val="center"/>
          </w:tcPr>
          <w:p>
            <w:r>
              <w:t>5.7</w:t>
            </w:r>
          </w:p>
        </w:tc>
        <w:tc>
          <w:tcPr>
            <w:vAlign w:val="center"/>
          </w:tcPr>
          <w:p>
            <w:r>
              <w:t>0.0</w:t>
            </w:r>
          </w:p>
        </w:tc>
        <w:tc>
          <w:tcPr>
            <w:vAlign w:val="center"/>
          </w:tcPr>
          <w:p>
            <w:r>
              <w:t>19.4</w:t>
            </w:r>
          </w:p>
        </w:tc>
        <w:tc>
          <w:tcPr>
            <w:vAlign w:val="center"/>
          </w:tcPr>
          <w:p>
            <w:r>
              <w:t>29.3</w:t>
            </w:r>
          </w:p>
        </w:tc>
        <w:tc>
          <w:tcPr>
            <w:vAlign w:val="center"/>
          </w:tcPr>
          <w:p>
            <w:r>
              <w:t>-9.947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25.0</w:t>
            </w:r>
          </w:p>
        </w:tc>
        <w:tc>
          <w:tcPr>
            <w:vAlign w:val="center"/>
          </w:tcPr>
          <w:p>
            <w:r>
              <w:t>0.0</w:t>
            </w:r>
          </w:p>
        </w:tc>
        <w:tc>
          <w:tcPr>
            <w:vAlign w:val="center"/>
          </w:tcPr>
          <w:p>
            <w:r>
              <w:t>5.4</w:t>
            </w:r>
          </w:p>
        </w:tc>
        <w:tc>
          <w:tcPr>
            <w:vAlign w:val="center"/>
          </w:tcPr>
          <w:p>
            <w:r>
              <w:t>0.0</w:t>
            </w:r>
          </w:p>
        </w:tc>
        <w:tc>
          <w:tcPr>
            <w:vAlign w:val="center"/>
          </w:tcPr>
          <w:p>
            <w:r>
              <w:t>19.7</w:t>
            </w:r>
          </w:p>
        </w:tc>
        <w:tc>
          <w:tcPr>
            <w:vAlign w:val="center"/>
          </w:tcPr>
          <w:p>
            <w:r>
              <w:t>29.1</w:t>
            </w:r>
          </w:p>
        </w:tc>
        <w:tc>
          <w:tcPr>
            <w:vAlign w:val="center"/>
          </w:tcPr>
          <w:p>
            <w:r>
              <w:t>-9.421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25.0</w:t>
            </w:r>
          </w:p>
        </w:tc>
        <w:tc>
          <w:tcPr>
            <w:vAlign w:val="center"/>
          </w:tcPr>
          <w:p>
            <w:r>
              <w:t>0.0</w:t>
            </w:r>
          </w:p>
        </w:tc>
        <w:tc>
          <w:tcPr>
            <w:vAlign w:val="center"/>
          </w:tcPr>
          <w:p>
            <w:r>
              <w:t>5.1</w:t>
            </w:r>
          </w:p>
        </w:tc>
        <w:tc>
          <w:tcPr>
            <w:vAlign w:val="center"/>
          </w:tcPr>
          <w:p>
            <w:r>
              <w:t>0.0</w:t>
            </w:r>
          </w:p>
        </w:tc>
        <w:tc>
          <w:tcPr>
            <w:vAlign w:val="center"/>
          </w:tcPr>
          <w:p>
            <w:r>
              <w:t>20.0</w:t>
            </w:r>
          </w:p>
        </w:tc>
        <w:tc>
          <w:tcPr>
            <w:vAlign w:val="center"/>
          </w:tcPr>
          <w:p>
            <w:r>
              <w:t>28.6</w:t>
            </w:r>
          </w:p>
        </w:tc>
        <w:tc>
          <w:tcPr>
            <w:vAlign w:val="center"/>
          </w:tcPr>
          <w:p>
            <w:r>
              <w:t>-8.646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25.0</w:t>
            </w:r>
          </w:p>
        </w:tc>
        <w:tc>
          <w:tcPr>
            <w:vAlign w:val="center"/>
          </w:tcPr>
          <w:p>
            <w:r>
              <w:t>0.0</w:t>
            </w:r>
          </w:p>
        </w:tc>
        <w:tc>
          <w:tcPr>
            <w:vAlign w:val="center"/>
          </w:tcPr>
          <w:p>
            <w:r>
              <w:t>4.9</w:t>
            </w:r>
          </w:p>
        </w:tc>
        <w:tc>
          <w:tcPr>
            <w:vAlign w:val="center"/>
          </w:tcPr>
          <w:p>
            <w:r>
              <w:t>0.0</w:t>
            </w:r>
          </w:p>
        </w:tc>
        <w:tc>
          <w:tcPr>
            <w:vAlign w:val="center"/>
          </w:tcPr>
          <w:p>
            <w:r>
              <w:t>20.1</w:t>
            </w:r>
          </w:p>
        </w:tc>
        <w:tc>
          <w:tcPr>
            <w:vAlign w:val="center"/>
          </w:tcPr>
          <w:p>
            <w:r>
              <w:t>28.0</w:t>
            </w:r>
          </w:p>
        </w:tc>
        <w:tc>
          <w:tcPr>
            <w:vAlign w:val="center"/>
          </w:tcPr>
          <w:p>
            <w:r>
              <w:t>-7.862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25.0</w:t>
            </w:r>
          </w:p>
        </w:tc>
        <w:tc>
          <w:tcPr>
            <w:vAlign w:val="center"/>
          </w:tcPr>
          <w:p>
            <w:r>
              <w:t>0.0</w:t>
            </w:r>
          </w:p>
        </w:tc>
        <w:tc>
          <w:tcPr>
            <w:vAlign w:val="center"/>
          </w:tcPr>
          <w:p>
            <w:r>
              <w:t>4.8</w:t>
            </w:r>
          </w:p>
        </w:tc>
        <w:tc>
          <w:tcPr>
            <w:vAlign w:val="center"/>
          </w:tcPr>
          <w:p>
            <w:r>
              <w:t>0.0</w:t>
            </w:r>
          </w:p>
        </w:tc>
        <w:tc>
          <w:tcPr>
            <w:vAlign w:val="center"/>
          </w:tcPr>
          <w:p>
            <w:r>
              <w:t>20.2</w:t>
            </w:r>
          </w:p>
        </w:tc>
        <w:tc>
          <w:tcPr>
            <w:vAlign w:val="center"/>
          </w:tcPr>
          <w:p>
            <w:r>
              <w:t>27.3</w:t>
            </w:r>
          </w:p>
        </w:tc>
        <w:tc>
          <w:tcPr>
            <w:vAlign w:val="center"/>
          </w:tcPr>
          <w:p>
            <w:r>
              <w:t>-7.056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-8.48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iZGQ1MTQ1NzNmYzI2MWNhYjkxNTgyMzRmM2E1YWMifQ=="/>
  </w:docVars>
  <w:rsids>
    <w:rsidRoot w:val="15795D58"/>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1579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8</Pages>
  <Words>1528</Words>
  <Characters>2757</Characters>
  <Lines>11</Lines>
  <Paragraphs>3</Paragraphs>
  <TotalTime>0</TotalTime>
  <ScaleCrop>false</ScaleCrop>
  <LinksUpToDate>false</LinksUpToDate>
  <CharactersWithSpaces>2791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2024-01-08T21:35:00Z</dcterms:created>
  <dc:creator>litwodog</dc:creator>
  <cp:lastModifiedBy>litwodog</cp:lastModifiedBy>
  <dcterms:modified xsi:type="dcterms:W3CDTF">2024-01-08T21:35:59Z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4A5474CA9F434E1A896C1EC14F5CBF95_11</vt:lpwstr>
  </property>
  <property fmtid="{D5CDD505-2E9C-101B-9397-08002B2CF9AE}" pid="3" name="KSOProductBuildVer">
    <vt:lpwstr>2052-12.1.0.16120</vt:lpwstr>
  </property>
</Properties>
</file>