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2024年01月10日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1" w:name="_GoBack"/>
      <w:bookmarkEnd w:id="131"/>
      <w:r>
        <w:rPr>
          <w:rFonts w:ascii="宋体" w:hAnsi="宋体"/>
          <w:bCs w:val="0"/>
          <w:caps/>
        </w:rPr>
        <w:fldChar w:fldCharType="begin"/>
      </w:r>
      <w:r>
        <w:rPr>
          <w:rFonts w:ascii="宋体" w:hAnsi="宋体"/>
          <w:bCs w:val="0"/>
          <w:caps/>
        </w:rPr>
        <w:instrText xml:space="preserve"> HYPERLINK \l _Toc31703 </w:instrText>
      </w:r>
      <w:r>
        <w:rPr>
          <w:rFonts w:ascii="宋体" w:hAnsi="宋体"/>
          <w:bCs w:val="0"/>
          <w:caps/>
        </w:rPr>
        <w:fldChar w:fldCharType="separate"/>
      </w:r>
      <w:r>
        <w:rPr>
          <w:rFonts w:hint="eastAsia"/>
        </w:rPr>
        <w:t>1 项目概况</w:t>
      </w:r>
      <w:r>
        <w:tab/>
      </w:r>
      <w:r>
        <w:fldChar w:fldCharType="begin"/>
      </w:r>
      <w:r>
        <w:instrText xml:space="preserve"> PAGEREF _Toc31703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_Toc19829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_Toc19829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_Toc26085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_Toc26085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_Toc22059 </w:instrText>
      </w:r>
      <w:r>
        <w:fldChar w:fldCharType="separate"/>
      </w:r>
      <w:r>
        <w:rPr>
          <w:rFonts w:hint="eastAsia"/>
        </w:rPr>
        <w:t>2 计算</w:t>
      </w:r>
      <w:r>
        <w:t>依据</w:t>
      </w:r>
      <w:r>
        <w:tab/>
      </w:r>
      <w:r>
        <w:fldChar w:fldCharType="begin"/>
      </w:r>
      <w:r>
        <w:instrText xml:space="preserve"> PAGEREF _Toc22059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_Toc29775 </w:instrText>
      </w:r>
      <w:r>
        <w:fldChar w:fldCharType="separate"/>
      </w:r>
      <w:r>
        <w:rPr>
          <w:rFonts w:hint="eastAsia"/>
        </w:rPr>
        <w:t>3 参考</w:t>
      </w:r>
      <w:r>
        <w:t>标准</w:t>
      </w:r>
      <w:r>
        <w:tab/>
      </w:r>
      <w:r>
        <w:fldChar w:fldCharType="begin"/>
      </w:r>
      <w:r>
        <w:instrText xml:space="preserve"> PAGEREF _Toc29775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_Toc14830 </w:instrText>
      </w:r>
      <w:r>
        <w:fldChar w:fldCharType="separate"/>
      </w:r>
      <w:r>
        <w:rPr>
          <w:rFonts w:hint="eastAsia"/>
        </w:rPr>
        <w:t>4 计算原理</w:t>
      </w:r>
      <w:r>
        <w:tab/>
      </w:r>
      <w:r>
        <w:fldChar w:fldCharType="begin"/>
      </w:r>
      <w:r>
        <w:instrText xml:space="preserve"> PAGEREF _Toc14830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_Toc540 </w:instrText>
      </w:r>
      <w:r>
        <w:fldChar w:fldCharType="separate"/>
      </w:r>
      <w:r>
        <w:rPr>
          <w:rFonts w:hint="eastAsia"/>
          <w:lang w:val="en-GB"/>
        </w:rPr>
        <w:t xml:space="preserve">4.1 </w:t>
      </w:r>
      <w:r>
        <w:rPr>
          <w:rFonts w:hint="eastAsia"/>
        </w:rPr>
        <w:t>风场计算域</w:t>
      </w:r>
      <w:r>
        <w:tab/>
      </w:r>
      <w:r>
        <w:fldChar w:fldCharType="begin"/>
      </w:r>
      <w:r>
        <w:instrText xml:space="preserve"> PAGEREF _Toc540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_Toc13026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_Toc13026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_Toc18254 </w:instrText>
      </w:r>
      <w:r>
        <w:fldChar w:fldCharType="separate"/>
      </w:r>
      <w:r>
        <w:rPr>
          <w:rFonts w:hint="eastAsia"/>
          <w:lang w:val="en-GB"/>
        </w:rPr>
        <w:t xml:space="preserve">4.2 </w:t>
      </w:r>
      <w:r>
        <w:rPr>
          <w:rFonts w:hint="eastAsia"/>
        </w:rPr>
        <w:t>网格划分</w:t>
      </w:r>
      <w:r>
        <w:tab/>
      </w:r>
      <w:r>
        <w:fldChar w:fldCharType="begin"/>
      </w:r>
      <w:r>
        <w:instrText xml:space="preserve"> PAGEREF _Toc18254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_Toc3522 </w:instrText>
      </w:r>
      <w:r>
        <w:fldChar w:fldCharType="separate"/>
      </w:r>
      <w:r>
        <w:rPr>
          <w:rFonts w:hint="eastAsia"/>
          <w:lang w:val="en-GB"/>
        </w:rPr>
        <w:t xml:space="preserve">4.3 </w:t>
      </w:r>
      <w:r>
        <w:rPr>
          <w:rFonts w:hint="eastAsia"/>
        </w:rPr>
        <w:t>边界条件</w:t>
      </w:r>
      <w:r>
        <w:tab/>
      </w:r>
      <w:r>
        <w:fldChar w:fldCharType="begin"/>
      </w:r>
      <w:r>
        <w:instrText xml:space="preserve"> PAGEREF _Toc3522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_Toc1901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_Toc1901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_Toc27334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_Toc27334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_Toc26970 </w:instrText>
      </w:r>
      <w:r>
        <w:fldChar w:fldCharType="separate"/>
      </w:r>
      <w:r>
        <w:rPr>
          <w:rFonts w:hint="eastAsia"/>
          <w:lang w:val="en-GB"/>
        </w:rPr>
        <w:t xml:space="preserve">4.4 </w:t>
      </w:r>
      <w:r>
        <w:rPr>
          <w:rFonts w:hint="eastAsia"/>
        </w:rPr>
        <w:t>湍流模型</w:t>
      </w:r>
      <w:r>
        <w:tab/>
      </w:r>
      <w:r>
        <w:fldChar w:fldCharType="begin"/>
      </w:r>
      <w:r>
        <w:instrText xml:space="preserve"> PAGEREF _Toc26970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_Toc26286 </w:instrText>
      </w:r>
      <w:r>
        <w:fldChar w:fldCharType="separate"/>
      </w:r>
      <w:r>
        <w:rPr>
          <w:rFonts w:hint="eastAsia"/>
          <w:lang w:val="en-GB"/>
        </w:rPr>
        <w:t xml:space="preserve">4.5 </w:t>
      </w:r>
      <w:r>
        <w:rPr>
          <w:rFonts w:hint="eastAsia"/>
        </w:rPr>
        <w:t>求解计算</w:t>
      </w:r>
      <w:r>
        <w:tab/>
      </w:r>
      <w:r>
        <w:fldChar w:fldCharType="begin"/>
      </w:r>
      <w:r>
        <w:instrText xml:space="preserve"> PAGEREF _Toc26286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_Toc27315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_Toc27315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_Toc13129 </w:instrText>
      </w:r>
      <w:r>
        <w:fldChar w:fldCharType="separate"/>
      </w:r>
      <w:r>
        <w:rPr>
          <w:rFonts w:hint="eastAsia"/>
        </w:rPr>
        <w:t>5 结果</w:t>
      </w:r>
      <w:r>
        <w:t>分析</w:t>
      </w:r>
      <w:r>
        <w:tab/>
      </w:r>
      <w:r>
        <w:fldChar w:fldCharType="begin"/>
      </w:r>
      <w:r>
        <w:instrText xml:space="preserve"> PAGEREF _Toc13129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_Toc16004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_Toc16004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_Toc29064 </w:instrText>
      </w:r>
      <w:r>
        <w:fldChar w:fldCharType="separate"/>
      </w:r>
      <w:r>
        <w:rPr>
          <w:rFonts w:hint="eastAsia"/>
          <w:lang w:val="en-GB"/>
        </w:rPr>
        <w:t xml:space="preserve">5.2 </w:t>
      </w:r>
      <w:r>
        <w:rPr>
          <w:rFonts w:hint="eastAsia"/>
        </w:rPr>
        <w:t>夏季工况</w:t>
      </w:r>
      <w:r>
        <w:tab/>
      </w:r>
      <w:r>
        <w:fldChar w:fldCharType="begin"/>
      </w:r>
      <w:r>
        <w:instrText xml:space="preserve"> PAGEREF _Toc29064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_Toc10192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_Toc10192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_Toc28338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_Toc28338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_Toc5583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_Toc5583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_Toc16989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_Toc16989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_Toc22387 </w:instrText>
      </w:r>
      <w:r>
        <w:fldChar w:fldCharType="separate"/>
      </w:r>
      <w:r>
        <w:rPr>
          <w:rFonts w:hint="eastAsia"/>
          <w:lang w:val="en-GB"/>
        </w:rPr>
        <w:t xml:space="preserve">5.3 </w:t>
      </w:r>
      <w:r>
        <w:rPr>
          <w:rFonts w:hint="eastAsia"/>
        </w:rPr>
        <w:t>结论</w:t>
      </w:r>
      <w:r>
        <w:tab/>
      </w:r>
      <w:r>
        <w:fldChar w:fldCharType="begin"/>
      </w:r>
      <w:r>
        <w:instrText xml:space="preserve"> PAGEREF _Toc22387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_Toc1697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_Toc1697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31703"/>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9829"/>
      <w:r>
        <w:rPr>
          <w:rFonts w:hint="eastAsia"/>
        </w:rPr>
        <w:t>总</w:t>
      </w:r>
      <w:r>
        <w:t>平面图</w:t>
      </w:r>
      <w:bookmarkEnd w:id="11"/>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3"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26085"/>
      <w:r>
        <w:rPr>
          <w:rFonts w:hint="eastAsia"/>
        </w:rPr>
        <w:t>三</w:t>
      </w:r>
      <w:r>
        <w:t>维视图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_Toc452108762"/>
      <w:bookmarkStart w:id="20" w:name="TitleFormat"/>
      <w:bookmarkStart w:id="21" w:name="_Toc22059"/>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2" w:name="参考标准名称1"/>
      <w:r>
        <w:rPr>
          <w:rFonts w:hint="eastAsia"/>
          <w:lang w:val="en-US"/>
        </w:rPr>
        <w:t>《绿色建筑评价标准》GB/T50378-2019</w:t>
      </w:r>
      <w:bookmarkEnd w:id="22"/>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452108763"/>
      <w:bookmarkStart w:id="24" w:name="_Toc29775"/>
      <w:r>
        <w:rPr>
          <w:rFonts w:hint="eastAsia"/>
        </w:rPr>
        <w:t>参考</w:t>
      </w:r>
      <w:r>
        <w:t>标准</w:t>
      </w:r>
      <w:bookmarkEnd w:id="23"/>
      <w:bookmarkEnd w:id="24"/>
    </w:p>
    <w:p>
      <w:pPr>
        <w:pStyle w:val="3"/>
        <w:ind w:firstLine="420"/>
        <w:rPr>
          <w:lang w:val="en-US"/>
        </w:rPr>
      </w:pPr>
      <w:r>
        <w:rPr>
          <w:rFonts w:hint="eastAsia"/>
          <w:lang w:val="en-US"/>
        </w:rPr>
        <w:t>室外风环境评价依据为</w:t>
      </w:r>
      <w:bookmarkStart w:id="25" w:name="参考标准名称2"/>
      <w:r>
        <w:rPr>
          <w:rFonts w:hint="eastAsia"/>
          <w:lang w:val="en-US"/>
        </w:rPr>
        <w:t>《绿色建筑评价标准》GB/T50378-2019</w:t>
      </w:r>
      <w:bookmarkEnd w:id="25"/>
      <w:r>
        <w:rPr>
          <w:rFonts w:hint="eastAsia"/>
          <w:lang w:val="en-US"/>
        </w:rPr>
        <w:t>中有关室外风环境的条目要求。具体要求如下：</w:t>
      </w:r>
    </w:p>
    <w:p>
      <w:pPr>
        <w:pStyle w:val="3"/>
        <w:ind w:firstLine="420"/>
        <w:rPr>
          <w:lang w:val="en-US"/>
        </w:rPr>
      </w:pPr>
      <w:bookmarkStart w:id="26" w:name="_Toc451698935"/>
      <w:bookmarkStart w:id="27" w:name="_Toc452108764"/>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bookmarkEnd w:id="29"/>
      <w:r>
        <w:rPr>
          <w:rFonts w:hint="eastAsia"/>
          <w:lang w:val="en-US"/>
        </w:rPr>
        <w:t>分；除迎风第一排建筑外，建筑迎风面与背风面表面风压差不超过5Pa，得</w:t>
      </w:r>
      <w:bookmarkStart w:id="30"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pPr>
        <w:pStyle w:val="2"/>
      </w:pPr>
      <w:bookmarkStart w:id="33" w:name="_Toc14830"/>
      <w:r>
        <w:rPr>
          <w:rFonts w:hint="eastAsia"/>
        </w:rPr>
        <w:t>计算原理</w:t>
      </w:r>
      <w:bookmarkEnd w:id="26"/>
      <w:bookmarkEnd w:id="27"/>
      <w:bookmarkEnd w:id="33"/>
    </w:p>
    <w:p>
      <w:pPr>
        <w:pStyle w:val="4"/>
        <w:numPr>
          <w:ilvl w:val="1"/>
          <w:numId w:val="3"/>
        </w:numPr>
      </w:pPr>
      <w:bookmarkStart w:id="34" w:name="_Toc509844740"/>
      <w:bookmarkStart w:id="35" w:name="_Toc540"/>
      <w:bookmarkStart w:id="36" w:name="_Toc451698937"/>
      <w:bookmarkStart w:id="37" w:name="_Toc452108765"/>
      <w:r>
        <w:rPr>
          <w:rFonts w:hint="eastAsia"/>
        </w:rPr>
        <w:t>风场计算域</w:t>
      </w:r>
      <w:bookmarkEnd w:id="34"/>
      <w:bookmarkEnd w:id="3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8" w:name="季节1"/>
      <w:bookmarkStart w:id="39" w:name="_Toc13026"/>
      <w:r>
        <w:rPr>
          <w:rFonts w:hint="eastAsia"/>
        </w:rPr>
        <w:t>夏季</w:t>
      </w:r>
      <w:bookmarkEnd w:id="38"/>
      <w:r>
        <w:rPr>
          <w:rFonts w:hint="eastAsia"/>
        </w:rPr>
        <w:t>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0" w:name="季节2"/>
      <w:r>
        <w:rPr>
          <w:rFonts w:hint="eastAsia" w:ascii="黑体" w:hAnsi="黑体" w:eastAsia="黑体"/>
          <w:sz w:val="20"/>
          <w:szCs w:val="20"/>
        </w:rPr>
        <w:t>夏季</w:t>
      </w:r>
      <w:bookmarkEnd w:id="40"/>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X尺寸"/>
            <w:r>
              <w:t>453</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Y尺寸"/>
            <w:r>
              <w:t>360</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Z尺寸"/>
            <w:r>
              <w:t>149</w:t>
            </w:r>
            <w:bookmarkEnd w:id="43"/>
          </w:p>
        </w:tc>
      </w:tr>
    </w:tbl>
    <w:p>
      <w:pPr>
        <w:pStyle w:val="3"/>
        <w:ind w:firstLine="0" w:firstLineChars="0"/>
        <w:jc w:val="center"/>
        <w:rPr>
          <w:lang w:val="en-US"/>
        </w:rPr>
      </w:pPr>
      <w:bookmarkStart w:id="44" w:name="冬季工况风场计算域图示"/>
      <w:bookmarkEnd w:id="44"/>
      <w:r>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5" w:name="季节3"/>
      <w:r>
        <w:rPr>
          <w:rFonts w:hint="eastAsia" w:ascii="黑体" w:hAnsi="黑体"/>
        </w:rPr>
        <w:t>夏季</w:t>
      </w:r>
      <w:bookmarkEnd w:id="45"/>
      <w:r>
        <w:rPr>
          <w:rFonts w:hint="eastAsia"/>
        </w:rPr>
        <w:t>工况风场计算域图示</w:t>
      </w:r>
      <w:r>
        <w:rPr>
          <w:rFonts w:hint="eastAsia"/>
          <w:szCs w:val="21"/>
          <w:lang w:val="en-US"/>
        </w:rPr>
        <w:t xml:space="preserve"> </w:t>
      </w:r>
    </w:p>
    <w:p>
      <w:pPr>
        <w:pStyle w:val="3"/>
        <w:ind w:firstLine="315" w:firstLineChars="150"/>
        <w:rPr>
          <w:lang w:val="en-US"/>
        </w:rPr>
      </w:pPr>
      <w:bookmarkStart w:id="46"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7" w:name="_Toc509844741"/>
      <w:bookmarkStart w:id="48" w:name="_Toc18254"/>
      <w:r>
        <w:rPr>
          <w:rFonts w:hint="eastAsia"/>
        </w:rPr>
        <w:t>网格划分</w:t>
      </w:r>
      <w:bookmarkEnd w:id="47"/>
      <w:bookmarkEnd w:id="4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9" w:name="OLE_LINK277"/>
      <w:bookmarkStart w:id="50" w:name="OLE_LINK276"/>
      <w:r>
        <w:rPr>
          <w:rFonts w:hint="eastAsia"/>
        </w:rPr>
        <w:t>1）普通网格：指除靠近地面和建筑以外的网格，通常不需要特别加密处理</w:t>
      </w:r>
    </w:p>
    <w:p>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9"/>
      <w:bookmarkEnd w:id="50"/>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2" w:name="冬季网格总数"/>
            <w:r>
              <w:t>458167</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分弧精度"/>
            <w:r>
              <w:t>0.24</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初始网格"/>
            <w:r>
              <w:t>8.0</w:t>
            </w:r>
            <w:bookmarkEnd w:id="5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小细分级数"/>
            <w:r>
              <w:t>1</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最大细分级数"/>
            <w:r>
              <w:t>2</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远场细分级数"/>
            <w:r>
              <w:t>1</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近场细分级数"/>
            <w:r>
              <w:t>2</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地面附面层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建筑附面层数"/>
            <w:r>
              <w:t>0</w:t>
            </w:r>
            <w:bookmarkEnd w:id="60"/>
          </w:p>
        </w:tc>
      </w:tr>
      <w:bookmarkEnd w:id="1"/>
    </w:tbl>
    <w:p>
      <w:pPr>
        <w:rPr>
          <w:szCs w:val="21"/>
          <w:lang w:val="en-US"/>
        </w:rPr>
      </w:pPr>
    </w:p>
    <w:p>
      <w:pPr>
        <w:jc w:val="center"/>
      </w:pPr>
      <w:bookmarkStart w:id="61" w:name="网格图"/>
      <w:bookmarkEnd w:id="61"/>
      <w:r>
        <w:drawing>
          <wp:inline distT="0" distB="0" distL="0" distR="0">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3718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2" w:name="季节"/>
      <w:r>
        <w:rPr>
          <w:rFonts w:hint="eastAsia" w:ascii="黑体" w:hAnsi="黑体" w:eastAsia="黑体"/>
          <w:sz w:val="20"/>
          <w:szCs w:val="20"/>
        </w:rPr>
        <w:t>夏季</w:t>
      </w:r>
      <w:bookmarkEnd w:id="62"/>
    </w:p>
    <w:p>
      <w:pPr>
        <w:pStyle w:val="3"/>
        <w:ind w:firstLine="630" w:firstLineChars="300"/>
        <w:rPr>
          <w:rFonts w:ascii="黑体" w:hAnsi="黑体" w:eastAsia="黑体"/>
          <w:szCs w:val="20"/>
          <w:lang w:val="en-US"/>
        </w:rPr>
      </w:pPr>
      <w:bookmarkStart w:id="63" w:name="网格划分信息"/>
      <w:bookmarkEnd w:id="63"/>
      <w:r>
        <w:rPr>
          <w:rFonts w:hint="eastAsia" w:ascii="黑体" w:hAnsi="黑体" w:eastAsia="黑体"/>
          <w:szCs w:val="20"/>
          <w:lang w:val="en-US"/>
        </w:rPr>
        <w:t>注：前述计算域随风向不同，所以相同的网格方案会产生不同的网格数量。</w:t>
      </w:r>
    </w:p>
    <w:bookmarkEnd w:id="46"/>
    <w:p>
      <w:pPr>
        <w:pStyle w:val="3"/>
        <w:ind w:firstLine="0" w:firstLineChars="0"/>
        <w:rPr>
          <w:rFonts w:ascii="黑体" w:hAnsi="黑体" w:eastAsia="黑体"/>
          <w:szCs w:val="20"/>
          <w:lang w:val="en-US"/>
        </w:rPr>
      </w:pPr>
    </w:p>
    <w:p>
      <w:pPr>
        <w:pStyle w:val="4"/>
        <w:numPr>
          <w:ilvl w:val="1"/>
          <w:numId w:val="3"/>
        </w:numPr>
      </w:pPr>
      <w:bookmarkStart w:id="64" w:name="_Toc509844742"/>
      <w:bookmarkStart w:id="65" w:name="_Toc3522"/>
      <w:r>
        <w:rPr>
          <w:rFonts w:hint="eastAsia"/>
        </w:rPr>
        <w:t>边界条件</w:t>
      </w:r>
      <w:bookmarkEnd w:id="64"/>
      <w:bookmarkEnd w:id="6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6" w:name="_Toc509844743"/>
      <w:bookmarkStart w:id="67" w:name="_Toc1901"/>
      <w:r>
        <w:rPr>
          <w:rFonts w:hint="eastAsia"/>
        </w:rPr>
        <w:t>入口与出口边界条件</w:t>
      </w:r>
      <w:bookmarkEnd w:id="66"/>
      <w:bookmarkEnd w:id="6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8" w:name="地面粗糙度指数2"/>
      <w:r>
        <w:rPr>
          <w:rFonts w:hint="eastAsia"/>
          <w:lang w:val="en-US"/>
        </w:rPr>
        <w:t>0.28</w:t>
      </w:r>
      <w:bookmarkEnd w:id="6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9" w:name="_Toc509844744"/>
      <w:bookmarkStart w:id="70" w:name="_Toc27334"/>
      <w:r>
        <w:rPr>
          <w:rFonts w:hint="eastAsia"/>
        </w:rPr>
        <w:t>壁面边界条件</w:t>
      </w:r>
      <w:bookmarkEnd w:id="69"/>
      <w:bookmarkEnd w:id="7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1" w:name="_Toc26970"/>
      <w:r>
        <w:rPr>
          <w:rFonts w:hint="eastAsia"/>
        </w:rPr>
        <w:t>湍流模型</w:t>
      </w:r>
      <w:bookmarkEnd w:id="36"/>
      <w:bookmarkEnd w:id="37"/>
      <w:bookmarkEnd w:id="7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2" w:name="_Toc451698939"/>
      <w:bookmarkStart w:id="73" w:name="_Toc452108767"/>
      <w:bookmarkStart w:id="74" w:name="_Toc26286"/>
      <w:r>
        <w:rPr>
          <w:rFonts w:hint="eastAsia"/>
        </w:rPr>
        <w:t>求解计算</w:t>
      </w:r>
      <w:bookmarkEnd w:id="72"/>
      <w:bookmarkEnd w:id="73"/>
      <w:bookmarkEnd w:id="7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5"/>
      <w:r>
        <w:rPr>
          <w:rFonts w:hint="eastAsia" w:ascii="黑体" w:hAnsi="黑体" w:eastAsia="黑体"/>
          <w:sz w:val="20"/>
          <w:szCs w:val="20"/>
        </w:rPr>
        <w:t xml:space="preserve"> </w:t>
      </w:r>
      <w:bookmarkStart w:id="76" w:name="_Ref225175618"/>
      <w:r>
        <w:rPr>
          <w:rFonts w:hint="eastAsia" w:ascii="黑体" w:hAnsi="黑体" w:eastAsia="黑体"/>
          <w:sz w:val="20"/>
          <w:szCs w:val="20"/>
        </w:rPr>
        <w:t>计算流体力学的控制方程</w:t>
      </w:r>
      <w:bookmarkEnd w:id="7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77" w:name="_Toc509844747"/>
      <w:bookmarkStart w:id="78" w:name="_Toc27315"/>
      <w:r>
        <w:rPr>
          <w:rFonts w:hint="eastAsia"/>
        </w:rPr>
        <w:t>风速放大系数计算</w:t>
      </w:r>
      <w:bookmarkEnd w:id="77"/>
      <w:bookmarkEnd w:id="7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0" w:name="_Toc452108768"/>
      <w:bookmarkStart w:id="81" w:name="_Toc13129"/>
      <w:r>
        <w:rPr>
          <w:rFonts w:hint="eastAsia"/>
        </w:rPr>
        <w:t>结果</w:t>
      </w:r>
      <w:r>
        <w:t>分析</w:t>
      </w:r>
      <w:bookmarkEnd w:id="80"/>
      <w:bookmarkEnd w:id="81"/>
    </w:p>
    <w:p>
      <w:pPr>
        <w:pStyle w:val="4"/>
        <w:rPr>
          <w:szCs w:val="21"/>
        </w:rPr>
      </w:pPr>
      <w:bookmarkStart w:id="82" w:name="_Toc16004"/>
      <w:r>
        <w:rPr>
          <w:rFonts w:hint="eastAsia"/>
          <w:szCs w:val="21"/>
        </w:rPr>
        <w:t>工况</w:t>
      </w:r>
      <w:r>
        <w:rPr>
          <w:szCs w:val="21"/>
        </w:rPr>
        <w:t>表</w:t>
      </w:r>
      <w:bookmarkEnd w:id="8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w:t>
            </w:r>
          </w:p>
        </w:tc>
      </w:tr>
      <w:bookmarkEnd w:id="8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4" w:name="冬季工况"/>
      <w:bookmarkEnd w:id="84"/>
      <w:r>
        <w:rPr>
          <w:rFonts w:hint="eastAsia"/>
          <w:lang w:val="en-US"/>
        </w:rPr>
        <w:t xml:space="preserve"> </w:t>
      </w:r>
    </w:p>
    <w:p>
      <w:pPr>
        <w:pStyle w:val="4"/>
      </w:pPr>
      <w:bookmarkStart w:id="85" w:name="_Toc509844759"/>
      <w:bookmarkStart w:id="86" w:name="_Toc29064"/>
      <w:r>
        <w:rPr>
          <w:rFonts w:hint="eastAsia"/>
        </w:rPr>
        <w:t>夏季</w:t>
      </w:r>
      <w:bookmarkEnd w:id="0"/>
      <w:r>
        <w:rPr>
          <w:rFonts w:hint="eastAsia"/>
        </w:rPr>
        <w:t>工况</w:t>
      </w:r>
      <w:bookmarkEnd w:id="85"/>
      <w:bookmarkEnd w:id="86"/>
    </w:p>
    <w:p>
      <w:pPr>
        <w:pStyle w:val="3"/>
        <w:ind w:firstLine="420"/>
      </w:pPr>
      <w:r>
        <w:rPr>
          <w:rFonts w:hint="eastAsia"/>
          <w:lang w:val="en-US"/>
        </w:rPr>
        <w:t>本项目夏季</w:t>
      </w:r>
      <w:bookmarkEnd w:id="2"/>
      <w:r>
        <w:rPr>
          <w:rFonts w:hint="eastAsia"/>
          <w:lang w:val="en-US"/>
        </w:rPr>
        <w:t>工况的入口边界风速为</w:t>
      </w:r>
      <w:bookmarkStart w:id="87" w:name="入口边界风速"/>
      <w:r>
        <w:rPr>
          <w:rFonts w:hint="eastAsia"/>
          <w:lang w:val="en-US"/>
        </w:rPr>
        <w:t>3.00</w:t>
      </w:r>
      <w:bookmarkEnd w:id="87"/>
      <w:r>
        <w:rPr>
          <w:rFonts w:hint="eastAsia"/>
          <w:lang w:val="en-US"/>
        </w:rPr>
        <w:t>m/s，风向为</w:t>
      </w:r>
      <w:bookmarkStart w:id="88" w:name="入口边界风向"/>
      <w:r>
        <w:t>ENE</w:t>
      </w:r>
      <w:bookmarkEnd w:id="88"/>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形成有效的巷道风，优化街区自然通风环境，避免</w:t>
      </w:r>
      <w:bookmarkStart w:id="90" w:name="季节5"/>
      <w:r>
        <w:rPr>
          <w:rFonts w:hint="eastAsia"/>
          <w:lang w:val="en-US"/>
        </w:rPr>
        <w:t>夏季</w:t>
      </w:r>
      <w:bookmarkEnd w:id="90"/>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1" w:name="_Toc509844760"/>
      <w:bookmarkStart w:id="92" w:name="_Toc10192"/>
      <w:r>
        <w:rPr>
          <w:rFonts w:hint="eastAsia"/>
        </w:rPr>
        <w:t>无风区计算分析</w:t>
      </w:r>
      <w:bookmarkEnd w:id="91"/>
      <w:bookmarkEnd w:id="92"/>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3" w:name="人活动区风速分析结论"/>
      <w:bookmarkEnd w:id="93"/>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94" w:name="人行区风速云图"/>
      <w:bookmarkEnd w:id="94"/>
      <w:r>
        <w:drawing>
          <wp:inline distT="0" distB="0" distL="0" distR="0">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9527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95" w:name="_Toc509844761"/>
      <w:bookmarkStart w:id="96" w:name="_Toc28338"/>
      <w:r>
        <w:rPr>
          <w:rFonts w:hint="eastAsia"/>
        </w:rPr>
        <w:t>旋涡区分析</w:t>
      </w:r>
      <w:bookmarkEnd w:id="95"/>
      <w:bookmarkEnd w:id="96"/>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97" w:name="人行区风速矢量图"/>
      <w:bookmarkEnd w:id="97"/>
      <w:r>
        <w:drawing>
          <wp:inline distT="0" distB="0" distL="0" distR="0">
            <wp:extent cx="5667375" cy="31908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98" w:name="_Toc509844762"/>
      <w:bookmarkStart w:id="99" w:name="_Toc5583"/>
      <w:r>
        <w:rPr>
          <w:rFonts w:hint="eastAsia"/>
        </w:rPr>
        <w:t>旋涡区/无风区达标</w:t>
      </w:r>
      <w:bookmarkEnd w:id="98"/>
      <w:r>
        <w:rPr>
          <w:rFonts w:hint="eastAsia"/>
        </w:rPr>
        <w:t>结果汇总</w:t>
      </w:r>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0" w:name="季节8"/>
      <w:r>
        <w:rPr>
          <w:rFonts w:hint="eastAsia" w:ascii="黑体" w:hAnsi="黑体" w:eastAsia="黑体"/>
          <w:sz w:val="20"/>
          <w:szCs w:val="20"/>
        </w:rPr>
        <w:t>夏季</w:t>
      </w:r>
      <w:bookmarkEnd w:id="10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1" w:name="是否有无风区"/>
            <w:r>
              <w:rPr>
                <w:rFonts w:hint="eastAsia"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2" w:name="无风区达标判断"/>
            <w:r>
              <w:rPr>
                <w:rFonts w:hint="eastAsia" w:ascii="宋体" w:hAnsi="宋体" w:cs="宋体"/>
                <w:color w:val="000000"/>
                <w:sz w:val="22"/>
                <w:szCs w:val="22"/>
                <w:lang w:val="en-US"/>
              </w:rPr>
              <w:t>是</w:t>
            </w:r>
            <w:bookmarkEnd w:id="102"/>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3" w:name="是否有旋涡区"/>
            <w:r>
              <w:rPr>
                <w:rFonts w:ascii="宋体" w:hAnsi="宋体" w:cs="宋体"/>
                <w:color w:val="000000"/>
                <w:sz w:val="22"/>
                <w:szCs w:val="22"/>
                <w:lang w:val="en-US"/>
              </w:rPr>
              <w:t>否</w:t>
            </w:r>
            <w:bookmarkEnd w:id="10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4" w:name="旋涡区达标判断"/>
            <w:r>
              <w:rPr>
                <w:rFonts w:ascii="宋体" w:hAnsi="宋体" w:cs="宋体"/>
                <w:color w:val="000000"/>
                <w:sz w:val="22"/>
                <w:szCs w:val="22"/>
                <w:lang w:val="en-US"/>
              </w:rPr>
              <w:t>是</w:t>
            </w:r>
            <w:bookmarkEnd w:id="104"/>
          </w:p>
        </w:tc>
      </w:tr>
    </w:tbl>
    <w:p>
      <w:pPr>
        <w:pStyle w:val="5"/>
      </w:pPr>
      <w:bookmarkStart w:id="105" w:name="_Toc504501018"/>
      <w:bookmarkStart w:id="106" w:name="_Toc509844763"/>
      <w:bookmarkStart w:id="107" w:name="_Toc16989"/>
      <w:r>
        <w:rPr>
          <w:rFonts w:hint="eastAsia"/>
        </w:rPr>
        <w:t>外窗内外表面风压</w:t>
      </w:r>
      <w:bookmarkEnd w:id="105"/>
      <w:r>
        <w:rPr>
          <w:rFonts w:hint="eastAsia"/>
        </w:rPr>
        <w:t>差达标分析</w:t>
      </w:r>
      <w:bookmarkEnd w:id="106"/>
      <w:bookmarkEnd w:id="107"/>
    </w:p>
    <w:p>
      <w:pPr>
        <w:pStyle w:val="3"/>
        <w:ind w:firstLine="420"/>
      </w:pPr>
      <w:r>
        <w:rPr>
          <w:rFonts w:hint="eastAsia"/>
          <w:lang w:val="en-US"/>
        </w:rPr>
        <w:t>分析《绿色建筑评价标准》，</w:t>
      </w:r>
      <w:bookmarkStart w:id="108" w:name="季节9"/>
      <w:r>
        <w:rPr>
          <w:rFonts w:hint="eastAsia"/>
          <w:lang w:val="en-US"/>
        </w:rPr>
        <w:t>夏季</w:t>
      </w:r>
      <w:bookmarkEnd w:id="108"/>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9" w:name="迎风面风压云图"/>
      <w:bookmarkEnd w:id="109"/>
      <w: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0" w:name="季节10"/>
      <w:r>
        <w:rPr>
          <w:rFonts w:hint="eastAsia" w:ascii="黑体" w:hAnsi="黑体" w:eastAsia="黑体"/>
          <w:sz w:val="20"/>
          <w:szCs w:val="20"/>
        </w:rPr>
        <w:t>夏季</w:t>
      </w:r>
      <w:bookmarkEnd w:id="110"/>
    </w:p>
    <w:p>
      <w:pPr>
        <w:pStyle w:val="13"/>
        <w:jc w:val="center"/>
      </w:pPr>
      <w:bookmarkStart w:id="111" w:name="背风面风压云图"/>
      <w:bookmarkEnd w:id="111"/>
      <w:r>
        <w:drawing>
          <wp:inline distT="0" distB="0" distL="0" distR="0">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432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2" w:name="季节11"/>
      <w:r>
        <w:rPr>
          <w:rFonts w:hint="eastAsia" w:ascii="黑体" w:hAnsi="黑体" w:eastAsia="黑体"/>
          <w:sz w:val="20"/>
          <w:szCs w:val="20"/>
        </w:rPr>
        <w:t>夏季</w:t>
      </w:r>
      <w:bookmarkEnd w:id="112"/>
      <w:r>
        <w:rPr>
          <w:rFonts w:hint="eastAsia"/>
        </w:rPr>
        <w:t xml:space="preserve"> </w:t>
      </w:r>
    </w:p>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13"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lang w:val="en-US"/>
              </w:rPr>
            </w:pPr>
            <w:r>
              <w:rPr>
                <w:lang w:val="en-US"/>
              </w:rPr>
              <w:t>44486.50</w:t>
            </w:r>
          </w:p>
        </w:tc>
        <w:tc>
          <w:tcPr>
            <w:tcW w:w="2552" w:type="dxa"/>
            <w:vAlign w:val="center"/>
          </w:tcPr>
          <w:p>
            <w:pPr>
              <w:spacing w:line="360" w:lineRule="exact"/>
              <w:jc w:val="center"/>
              <w:rPr>
                <w:lang w:val="en-US"/>
              </w:rPr>
            </w:pPr>
            <w:r>
              <w:rPr>
                <w:lang w:val="en-US"/>
              </w:rPr>
              <w:t>42962.30</w:t>
            </w:r>
          </w:p>
        </w:tc>
        <w:tc>
          <w:tcPr>
            <w:tcW w:w="1134" w:type="dxa"/>
            <w:vAlign w:val="center"/>
          </w:tcPr>
          <w:p>
            <w:pPr>
              <w:spacing w:line="360" w:lineRule="exact"/>
              <w:jc w:val="center"/>
              <w:rPr>
                <w:lang w:val="en-US"/>
              </w:rPr>
            </w:pPr>
            <w:r>
              <w:rPr>
                <w:lang w:val="en-US"/>
              </w:rPr>
              <w:t>96.57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未命名(5EFF1)</w:t>
            </w:r>
          </w:p>
        </w:tc>
        <w:tc>
          <w:tcPr>
            <w:tcW w:w="1417" w:type="dxa"/>
            <w:vAlign w:val="center"/>
          </w:tcPr>
          <w:p>
            <w:pPr>
              <w:spacing w:line="360" w:lineRule="exact"/>
              <w:jc w:val="center"/>
              <w:rPr>
                <w:lang w:val="en-US"/>
              </w:rPr>
            </w:pPr>
            <w:r>
              <w:rPr>
                <w:lang w:val="en-US"/>
              </w:rPr>
              <w:t>316.70</w:t>
            </w:r>
          </w:p>
        </w:tc>
        <w:tc>
          <w:tcPr>
            <w:tcW w:w="2552" w:type="dxa"/>
            <w:vAlign w:val="center"/>
          </w:tcPr>
          <w:p>
            <w:pPr>
              <w:spacing w:line="360" w:lineRule="exact"/>
              <w:jc w:val="center"/>
              <w:rPr>
                <w:lang w:val="en-US"/>
              </w:rPr>
            </w:pPr>
            <w:r>
              <w:rPr>
                <w:lang w:val="en-US"/>
              </w:rPr>
              <w:t>316.70</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未命名(5EFF4)</w:t>
            </w:r>
          </w:p>
        </w:tc>
        <w:tc>
          <w:tcPr>
            <w:tcW w:w="1417" w:type="dxa"/>
            <w:vAlign w:val="center"/>
          </w:tcPr>
          <w:p>
            <w:pPr>
              <w:spacing w:line="360" w:lineRule="exact"/>
              <w:jc w:val="center"/>
              <w:rPr>
                <w:lang w:val="en-US"/>
              </w:rPr>
            </w:pPr>
            <w:r>
              <w:rPr>
                <w:lang w:val="en-US"/>
              </w:rPr>
              <w:t>179.88</w:t>
            </w:r>
          </w:p>
        </w:tc>
        <w:tc>
          <w:tcPr>
            <w:tcW w:w="2552" w:type="dxa"/>
            <w:vAlign w:val="center"/>
          </w:tcPr>
          <w:p>
            <w:pPr>
              <w:spacing w:line="360" w:lineRule="exact"/>
              <w:jc w:val="center"/>
              <w:rPr>
                <w:lang w:val="en-US"/>
              </w:rPr>
            </w:pPr>
            <w:r>
              <w:rPr>
                <w:lang w:val="en-US"/>
              </w:rPr>
              <w:t>179.88</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未命名(5EFF7)</w:t>
            </w:r>
          </w:p>
        </w:tc>
        <w:tc>
          <w:tcPr>
            <w:tcW w:w="1417" w:type="dxa"/>
            <w:vAlign w:val="center"/>
          </w:tcPr>
          <w:p>
            <w:pPr>
              <w:spacing w:line="360" w:lineRule="exact"/>
              <w:jc w:val="center"/>
              <w:rPr>
                <w:lang w:val="en-US"/>
              </w:rPr>
            </w:pPr>
            <w:r>
              <w:rPr>
                <w:lang w:val="en-US"/>
              </w:rPr>
              <w:t>191.51</w:t>
            </w:r>
          </w:p>
        </w:tc>
        <w:tc>
          <w:tcPr>
            <w:tcW w:w="2552" w:type="dxa"/>
            <w:vAlign w:val="center"/>
          </w:tcPr>
          <w:p>
            <w:pPr>
              <w:spacing w:line="360" w:lineRule="exact"/>
              <w:jc w:val="center"/>
              <w:rPr>
                <w:lang w:val="en-US"/>
              </w:rPr>
            </w:pPr>
            <w:r>
              <w:rPr>
                <w:lang w:val="en-US"/>
              </w:rPr>
              <w:t>191.51</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未命名(5EFFA)</w:t>
            </w:r>
          </w:p>
        </w:tc>
        <w:tc>
          <w:tcPr>
            <w:tcW w:w="1417" w:type="dxa"/>
            <w:vAlign w:val="center"/>
          </w:tcPr>
          <w:p>
            <w:pPr>
              <w:spacing w:line="360" w:lineRule="exact"/>
              <w:jc w:val="center"/>
              <w:rPr>
                <w:lang w:val="en-US"/>
              </w:rPr>
            </w:pPr>
            <w:r>
              <w:rPr>
                <w:lang w:val="en-US"/>
              </w:rPr>
              <w:t>209.93</w:t>
            </w:r>
          </w:p>
        </w:tc>
        <w:tc>
          <w:tcPr>
            <w:tcW w:w="2552" w:type="dxa"/>
            <w:vAlign w:val="center"/>
          </w:tcPr>
          <w:p>
            <w:pPr>
              <w:spacing w:line="360" w:lineRule="exact"/>
              <w:jc w:val="center"/>
              <w:rPr>
                <w:lang w:val="en-US"/>
              </w:rPr>
            </w:pPr>
            <w:r>
              <w:rPr>
                <w:lang w:val="en-US"/>
              </w:rPr>
              <w:t>209.93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bookmarkEnd w:id="113"/>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0"/>
    </w:p>
    <w:p>
      <w:pPr>
        <w:rPr>
          <w:lang w:val="en-US"/>
        </w:rPr>
      </w:pPr>
      <w:bookmarkStart w:id="114" w:name="建筑室内外风压差达标判定结论"/>
      <w:r>
        <w:rPr>
          <w:rFonts w:hint="eastAsia"/>
          <w:lang w:val="en-US"/>
        </w:rPr>
        <w:t>结论：本项目中所有建筑均满足“50%以上可开启外窗室内外表面的风压差大于0.5Pa”的要求。</w:t>
      </w:r>
      <w:bookmarkEnd w:id="114"/>
      <w:r>
        <w:rPr>
          <w:rFonts w:hint="eastAsia"/>
          <w:lang w:val="en-US"/>
        </w:rPr>
        <w:t xml:space="preserve"> </w:t>
      </w:r>
    </w:p>
    <w:p>
      <w:pPr>
        <w:rPr>
          <w:lang w:val="en-US"/>
        </w:rPr>
      </w:pPr>
      <w:bookmarkStart w:id="115" w:name="其他工况"/>
      <w:bookmarkEnd w:id="115"/>
      <w:r>
        <w:rPr>
          <w:rFonts w:hint="eastAsia"/>
          <w:lang w:val="en-US"/>
        </w:rPr>
        <w:t xml:space="preserve"> </w:t>
      </w:r>
    </w:p>
    <w:p>
      <w:pPr>
        <w:pStyle w:val="4"/>
      </w:pPr>
      <w:bookmarkStart w:id="116" w:name="_Toc509844764"/>
      <w:bookmarkStart w:id="117" w:name="_Toc22387"/>
      <w:r>
        <w:rPr>
          <w:rFonts w:hint="eastAsia"/>
        </w:rPr>
        <w:t>结论</w:t>
      </w:r>
      <w:bookmarkEnd w:id="116"/>
      <w:bookmarkEnd w:id="117"/>
    </w:p>
    <w:p>
      <w:pPr>
        <w:pStyle w:val="5"/>
      </w:pPr>
      <w:bookmarkStart w:id="118" w:name="_Toc509844767"/>
      <w:bookmarkEnd w:id="118"/>
      <w:bookmarkStart w:id="119" w:name="_Toc509844768"/>
      <w:bookmarkEnd w:id="119"/>
      <w:bookmarkStart w:id="120" w:name="_Toc509844769"/>
      <w:bookmarkStart w:id="121" w:name="_Toc1697"/>
      <w:r>
        <w:rPr>
          <w:rFonts w:hint="eastAsia"/>
        </w:rPr>
        <w:t>过渡季、夏季工况达标判断</w:t>
      </w:r>
      <w:bookmarkEnd w:id="120"/>
      <w:bookmarkEnd w:id="12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2" w:name="标准要求夏季风速得分"/>
            <w:r>
              <w:rPr>
                <w:rFonts w:hint="eastAsia"/>
                <w:lang w:val="en-US"/>
              </w:rPr>
              <w:t>3</w:t>
            </w:r>
            <w:bookmarkEnd w:id="122"/>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3" w:name="夏季无风区结果计算域"/>
            <w:r>
              <w:rPr>
                <w:rFonts w:hint="eastAsia"/>
                <w:lang w:val="en-US"/>
              </w:rPr>
              <w:t>无</w:t>
            </w:r>
            <w:bookmarkEnd w:id="12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4" w:name="夏季无风区达标判定"/>
            <w:r>
              <w:rPr>
                <w:rFonts w:hint="eastAsia"/>
                <w:b/>
                <w:lang w:val="en-US"/>
              </w:rPr>
              <w:t>达标</w:t>
            </w:r>
            <w:bookmarkEnd w:id="124"/>
          </w:p>
        </w:tc>
        <w:tc>
          <w:tcPr>
            <w:tcW w:w="1416" w:type="dxa"/>
            <w:vMerge w:val="restart"/>
            <w:tcBorders>
              <w:top w:val="single" w:color="auto" w:sz="4" w:space="0"/>
            </w:tcBorders>
            <w:shd w:val="clear" w:color="auto" w:fill="auto"/>
            <w:vAlign w:val="center"/>
          </w:tcPr>
          <w:p>
            <w:pPr>
              <w:jc w:val="center"/>
              <w:rPr>
                <w:lang w:val="en-US"/>
              </w:rPr>
            </w:pPr>
            <w:bookmarkStart w:id="125" w:name="夏季无风区得分"/>
            <w:r>
              <w:rPr>
                <w:rFonts w:hint="eastAsia"/>
                <w:lang w:val="en-US"/>
              </w:rPr>
              <w:t>3</w:t>
            </w:r>
            <w:bookmarkEnd w:id="12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6" w:name="标准要求夏季风压得分"/>
            <w:r>
              <w:rPr>
                <w:rFonts w:hint="eastAsia"/>
                <w:lang w:val="en-US"/>
              </w:rPr>
              <w:t>2</w:t>
            </w:r>
            <w:bookmarkEnd w:id="126"/>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27" w:name="夏季窗内外风压差结果"/>
            <w:r>
              <w:rPr>
                <w:rFonts w:hint="eastAsia"/>
                <w:lang w:val="en-US"/>
              </w:rPr>
              <w:t>满足</w:t>
            </w:r>
            <w:bookmarkEnd w:id="127"/>
            <w:r>
              <w:rPr>
                <w:rFonts w:hint="eastAsia"/>
                <w:lang w:val="en-US"/>
              </w:rPr>
              <w:t>标准要求</w:t>
            </w:r>
          </w:p>
        </w:tc>
        <w:tc>
          <w:tcPr>
            <w:tcW w:w="1985" w:type="dxa"/>
            <w:shd w:val="clear" w:color="auto" w:fill="auto"/>
            <w:vAlign w:val="center"/>
          </w:tcPr>
          <w:p>
            <w:pPr>
              <w:jc w:val="center"/>
              <w:rPr>
                <w:b/>
                <w:lang w:val="en-US"/>
              </w:rPr>
            </w:pPr>
            <w:bookmarkStart w:id="128" w:name="夏季窗内外风压差达标判定"/>
            <w:r>
              <w:rPr>
                <w:rFonts w:hint="eastAsia"/>
                <w:b/>
                <w:lang w:val="en-US"/>
              </w:rPr>
              <w:t>达标</w:t>
            </w:r>
            <w:bookmarkEnd w:id="128"/>
          </w:p>
        </w:tc>
        <w:tc>
          <w:tcPr>
            <w:tcW w:w="1416" w:type="dxa"/>
            <w:shd w:val="clear" w:color="auto" w:fill="auto"/>
            <w:vAlign w:val="center"/>
          </w:tcPr>
          <w:p>
            <w:pPr>
              <w:jc w:val="center"/>
              <w:rPr>
                <w:lang w:val="en-US"/>
              </w:rPr>
            </w:pPr>
            <w:bookmarkStart w:id="129" w:name="夏季窗内外风压差得分"/>
            <w:r>
              <w:rPr>
                <w:rFonts w:hint="eastAsia"/>
                <w:lang w:val="en-US"/>
              </w:rPr>
              <w:t>2</w:t>
            </w:r>
            <w:bookmarkEnd w:id="129"/>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0" w:name="总得分"/>
      <w:r>
        <w:rPr>
          <w:rFonts w:hint="eastAsia"/>
          <w:lang w:val="en-US"/>
        </w:rPr>
        <w:t>5</w:t>
      </w:r>
      <w:bookmarkEnd w:id="130"/>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ZGQ1MTQ1NzNmYzI2MWNhYjkxNTgyMzRmM2E1YWMifQ=="/>
  </w:docVars>
  <w:rsids>
    <w:rsidRoot w:val="7FCF027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7FCF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tmp5.dotx</Template>
  <Pages>17</Pages>
  <Words>4365</Words>
  <Characters>4957</Characters>
  <Lines>40</Lines>
  <Paragraphs>11</Paragraphs>
  <TotalTime>0</TotalTime>
  <ScaleCrop>false</ScaleCrop>
  <LinksUpToDate>false</LinksUpToDate>
  <CharactersWithSpaces>5140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2024-01-09T19:12:00Z</dcterms:created>
  <dc:creator>litwodog</dc:creator>
  <cp:lastModifiedBy>litwodog</cp:lastModifiedBy>
  <dcterms:modified xsi:type="dcterms:W3CDTF">2024-01-09T19:12:22Z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7540101A12CF4F678089C5F441E17BC3_11</vt:lpwstr>
  </property>
  <property fmtid="{D5CDD505-2E9C-101B-9397-08002B2CF9AE}" pid="3" name="KSOProductBuildVer">
    <vt:lpwstr>2052-12.1.0.16120</vt:lpwstr>
  </property>
</Properties>
</file>