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ind w:firstLine="194" w:firstLineChars="27"/>
        <w:rPr>
          <w:b/>
          <w:bCs/>
          <w:sz w:val="72"/>
          <w:szCs w:val="72"/>
        </w:rPr>
      </w:pPr>
    </w:p>
    <w:p>
      <w:pPr>
        <w:spacing w:line="276" w:lineRule="auto"/>
        <w:rPr>
          <w:rFonts w:ascii="黑体" w:hAnsi="黑体" w:eastAsia="黑体"/>
          <w:b/>
          <w:spacing w:val="60"/>
          <w:sz w:val="72"/>
          <w:szCs w:val="72"/>
        </w:rPr>
      </w:pPr>
      <w:r>
        <w:rPr>
          <w:rFonts w:hint="eastAsia" w:ascii="黑体" w:hAnsi="黑体" w:eastAsia="黑体"/>
          <w:b/>
          <w:spacing w:val="60"/>
          <w:sz w:val="72"/>
          <w:szCs w:val="72"/>
        </w:rPr>
        <w:t>动态采光报告书</w:t>
      </w:r>
    </w:p>
    <w:p>
      <w:pPr>
        <w:spacing w:line="276" w:lineRule="auto"/>
        <w:rPr>
          <w:rFonts w:ascii="黑体" w:hAnsi="黑体" w:eastAsia="黑体"/>
          <w:spacing w:val="60"/>
          <w:sz w:val="52"/>
          <w:szCs w:val="44"/>
        </w:rPr>
      </w:pPr>
      <w:r>
        <w:rPr>
          <w:rFonts w:hint="eastAsia" w:ascii="黑体" w:hAnsi="黑体" w:eastAsia="黑体"/>
          <w:spacing w:val="60"/>
          <w:sz w:val="52"/>
          <w:szCs w:val="44"/>
        </w:rPr>
        <w:t>住宅建筑</w:t>
      </w:r>
    </w:p>
    <w:p>
      <w:pPr>
        <w:rPr>
          <w:rFonts w:ascii="黑体" w:hAnsi="黑体" w:eastAsia="黑体"/>
          <w:sz w:val="44"/>
          <w:szCs w:val="44"/>
        </w:rPr>
      </w:pPr>
    </w:p>
    <w:p>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r>
              <w:t>阳光房</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r>
              <w:t>1</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r>
              <w:t>1</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r>
              <w:t>1</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2024年1月9日</w:t>
            </w:r>
            <w:bookmarkEnd w:id="6"/>
          </w:p>
        </w:tc>
      </w:tr>
    </w:tbl>
    <w:p>
      <w:pPr>
        <w:ind w:firstLine="562"/>
        <w:rPr>
          <w:rFonts w:ascii="黑体" w:hAnsi="黑体" w:eastAsia="黑体"/>
          <w:b/>
          <w:bCs/>
          <w:sz w:val="28"/>
          <w:szCs w:val="28"/>
        </w:rPr>
      </w:pPr>
    </w:p>
    <w:p>
      <w:pPr>
        <w:ind w:firstLine="602"/>
        <w:rPr>
          <w:rFonts w:ascii="黑体" w:hAnsi="黑体" w:eastAsia="黑体"/>
          <w:b/>
          <w:bCs/>
          <w:sz w:val="30"/>
          <w:szCs w:val="32"/>
        </w:rPr>
      </w:pPr>
      <w:bookmarkStart w:id="7" w:name="二维码"/>
      <w:bookmarkEnd w:id="7"/>
      <w:r>
        <w:drawing>
          <wp:inline distT="0" distB="0" distL="0" distR="0">
            <wp:extent cx="2171700" cy="21717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pPr>
        <w:ind w:firstLine="602"/>
        <w:rPr>
          <w:rFonts w:ascii="黑体" w:hAnsi="黑体" w:eastAsia="黑体"/>
          <w:b/>
          <w:bCs/>
          <w:sz w:val="30"/>
          <w:szCs w:val="32"/>
        </w:rPr>
      </w:pPr>
    </w:p>
    <w:p>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T13513590990</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ind w:firstLine="560"/>
        <w:rPr>
          <w:sz w:val="28"/>
          <w:szCs w:val="28"/>
        </w:rPr>
      </w:pPr>
      <w:bookmarkStart w:id="99" w:name="_GoBack"/>
      <w:bookmarkStart w:id="10"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_Toc2671 </w:instrText>
      </w:r>
      <w:r>
        <w:rPr>
          <w:szCs w:val="28"/>
        </w:rPr>
        <w:fldChar w:fldCharType="separate"/>
      </w:r>
      <w:r>
        <w:rPr>
          <w:rFonts w:hint="eastAsia" w:ascii="微软雅黑" w:hAnsi="微软雅黑"/>
        </w:rPr>
        <w:t>1. 建筑概况</w:t>
      </w:r>
      <w:r>
        <w:tab/>
      </w:r>
      <w:r>
        <w:fldChar w:fldCharType="begin"/>
      </w:r>
      <w:r>
        <w:instrText xml:space="preserve"> PAGEREF _Toc2671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_Toc13892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_Toc13892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_Toc27853 </w:instrText>
      </w:r>
      <w:r>
        <w:rPr>
          <w:szCs w:val="28"/>
        </w:rPr>
        <w:fldChar w:fldCharType="separate"/>
      </w:r>
      <w:r>
        <w:rPr>
          <w:rFonts w:hint="eastAsia" w:ascii="微软雅黑" w:hAnsi="微软雅黑"/>
        </w:rPr>
        <w:t>3. 分析依据</w:t>
      </w:r>
      <w:r>
        <w:tab/>
      </w:r>
      <w:r>
        <w:fldChar w:fldCharType="begin"/>
      </w:r>
      <w:r>
        <w:instrText xml:space="preserve"> PAGEREF _Toc27853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_Toc16459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_Toc16459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_Toc12531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_Toc12531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_Toc27712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_Toc27712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_Toc26236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基本原理</w:t>
      </w:r>
      <w:r>
        <w:tab/>
      </w:r>
      <w:r>
        <w:fldChar w:fldCharType="begin"/>
      </w:r>
      <w:r>
        <w:instrText xml:space="preserve"> PAGEREF _Toc26236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_Toc14223 </w:instrText>
      </w:r>
      <w:r>
        <w:rPr>
          <w:szCs w:val="28"/>
        </w:rPr>
        <w:fldChar w:fldCharType="separate"/>
      </w:r>
      <w:r>
        <w:rPr>
          <w:rFonts w:hint="eastAsia" w:ascii="微软雅黑" w:hAnsi="微软雅黑" w:eastAsia="微软雅黑"/>
          <w:lang w:val="en-GB"/>
        </w:rPr>
        <w:t xml:space="preserve">4.2 </w:t>
      </w:r>
      <w:r>
        <w:rPr>
          <w:rFonts w:hint="eastAsia" w:ascii="微软雅黑" w:hAnsi="微软雅黑"/>
        </w:rPr>
        <w:t>计算方法</w:t>
      </w:r>
      <w:r>
        <w:tab/>
      </w:r>
      <w:r>
        <w:fldChar w:fldCharType="begin"/>
      </w:r>
      <w:r>
        <w:instrText xml:space="preserve"> PAGEREF _Toc14223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_Toc30835 </w:instrText>
      </w:r>
      <w:r>
        <w:rPr>
          <w:szCs w:val="28"/>
        </w:rPr>
        <w:fldChar w:fldCharType="separate"/>
      </w:r>
      <w:r>
        <w:rPr>
          <w:rFonts w:hint="eastAsia" w:ascii="微软雅黑" w:hAnsi="微软雅黑" w:eastAsia="微软雅黑"/>
          <w:lang w:val="en-GB"/>
        </w:rPr>
        <w:t xml:space="preserve">4.3 </w:t>
      </w:r>
      <w:r>
        <w:rPr>
          <w:rFonts w:ascii="微软雅黑" w:hAnsi="微软雅黑"/>
        </w:rPr>
        <w:t>软件</w:t>
      </w:r>
      <w:r>
        <w:rPr>
          <w:rFonts w:hint="eastAsia" w:ascii="微软雅黑" w:hAnsi="微软雅黑"/>
        </w:rPr>
        <w:t>选用</w:t>
      </w:r>
      <w:r>
        <w:tab/>
      </w:r>
      <w:r>
        <w:fldChar w:fldCharType="begin"/>
      </w:r>
      <w:r>
        <w:instrText xml:space="preserve"> PAGEREF _Toc30835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_Toc32542 </w:instrText>
      </w:r>
      <w:r>
        <w:rPr>
          <w:szCs w:val="28"/>
        </w:rPr>
        <w:fldChar w:fldCharType="separate"/>
      </w:r>
      <w:r>
        <w:rPr>
          <w:rFonts w:hint="eastAsia" w:ascii="微软雅黑" w:hAnsi="微软雅黑"/>
        </w:rPr>
        <w:t>5. 计算参数选用</w:t>
      </w:r>
      <w:r>
        <w:tab/>
      </w:r>
      <w:r>
        <w:fldChar w:fldCharType="begin"/>
      </w:r>
      <w:r>
        <w:instrText xml:space="preserve"> PAGEREF _Toc32542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_Toc7689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_Toc7689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_Toc15287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_Toc15287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_Toc31183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_Toc31183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_Toc9935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_Toc9935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_Toc9197 </w:instrText>
      </w:r>
      <w:r>
        <w:rPr>
          <w:szCs w:val="28"/>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_Toc9197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_Toc12901 </w:instrText>
      </w:r>
      <w:r>
        <w:rPr>
          <w:szCs w:val="28"/>
        </w:rPr>
        <w:fldChar w:fldCharType="separate"/>
      </w:r>
      <w:r>
        <w:rPr>
          <w:rFonts w:hint="eastAsia" w:eastAsia="宋体"/>
          <w:szCs w:val="24"/>
          <w:lang w:val="en-GB"/>
        </w:rPr>
        <w:t xml:space="preserve">5.3.3 </w:t>
      </w:r>
      <w:r>
        <w:rPr>
          <w:rFonts w:hint="eastAsia"/>
        </w:rPr>
        <w:t>天 窗</w:t>
      </w:r>
      <w:r>
        <w:tab/>
      </w:r>
      <w:r>
        <w:fldChar w:fldCharType="begin"/>
      </w:r>
      <w:r>
        <w:instrText xml:space="preserve"> PAGEREF _Toc12901 \h </w:instrText>
      </w:r>
      <w:r>
        <w:fldChar w:fldCharType="separate"/>
      </w:r>
      <w:r>
        <w:t>6</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_Toc32500 </w:instrText>
      </w:r>
      <w:r>
        <w:rPr>
          <w:szCs w:val="28"/>
        </w:rPr>
        <w:fldChar w:fldCharType="separate"/>
      </w:r>
      <w:r>
        <w:rPr>
          <w:rFonts w:hint="eastAsia" w:ascii="微软雅黑" w:hAnsi="微软雅黑"/>
        </w:rPr>
        <w:t>6. 动态采光达标统计</w:t>
      </w:r>
      <w:r>
        <w:tab/>
      </w:r>
      <w:r>
        <w:fldChar w:fldCharType="begin"/>
      </w:r>
      <w:r>
        <w:instrText xml:space="preserve"> PAGEREF _Toc32500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_Toc21782 </w:instrText>
      </w:r>
      <w:r>
        <w:rPr>
          <w:szCs w:val="28"/>
        </w:rPr>
        <w:fldChar w:fldCharType="separate"/>
      </w:r>
      <w:r>
        <w:rPr>
          <w:rFonts w:hint="eastAsia" w:ascii="微软雅黑" w:hAnsi="微软雅黑"/>
        </w:rPr>
        <w:t>7. 动态采光统计图</w:t>
      </w:r>
      <w:r>
        <w:tab/>
      </w:r>
      <w:r>
        <w:fldChar w:fldCharType="begin"/>
      </w:r>
      <w:r>
        <w:instrText xml:space="preserve"> PAGEREF _Toc21782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_Toc29742 </w:instrText>
      </w:r>
      <w:r>
        <w:rPr>
          <w:szCs w:val="28"/>
        </w:rPr>
        <w:fldChar w:fldCharType="separate"/>
      </w:r>
      <w:r>
        <w:rPr>
          <w:rFonts w:hint="eastAsia" w:ascii="微软雅黑" w:hAnsi="微软雅黑"/>
        </w:rPr>
        <w:t>8. 评价结论</w:t>
      </w:r>
      <w:r>
        <w:tab/>
      </w:r>
      <w:r>
        <w:fldChar w:fldCharType="begin"/>
      </w:r>
      <w:r>
        <w:instrText xml:space="preserve"> PAGEREF _Toc29742 \h </w:instrText>
      </w:r>
      <w:r>
        <w:fldChar w:fldCharType="separate"/>
      </w:r>
      <w:r>
        <w:t>8</w:t>
      </w:r>
      <w:r>
        <w:fldChar w:fldCharType="end"/>
      </w:r>
      <w:r>
        <w:rPr>
          <w:szCs w:val="28"/>
        </w:rPr>
        <w:fldChar w:fldCharType="end"/>
      </w:r>
    </w:p>
    <w:p>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99"/>
      <w:bookmarkEnd w:id="10"/>
    </w:p>
    <w:p>
      <w:pPr>
        <w:pStyle w:val="2"/>
        <w:rPr>
          <w:rFonts w:ascii="微软雅黑" w:hAnsi="微软雅黑"/>
        </w:rPr>
      </w:pPr>
      <w:r>
        <w:rPr>
          <w:rFonts w:ascii="微软雅黑" w:hAnsi="微软雅黑"/>
          <w:szCs w:val="21"/>
        </w:rPr>
        <w:tab/>
      </w:r>
      <w:bookmarkStart w:id="11" w:name="_Toc20312513"/>
      <w:bookmarkStart w:id="12" w:name="_Toc512608176"/>
      <w:bookmarkStart w:id="13" w:name="_Toc2671"/>
      <w:r>
        <w:rPr>
          <w:rFonts w:hint="eastAsia" w:ascii="微软雅黑" w:hAnsi="微软雅黑"/>
        </w:rPr>
        <w:t>建筑概况</w:t>
      </w:r>
      <w:bookmarkEnd w:id="11"/>
      <w:bookmarkEnd w:id="12"/>
      <w:bookmarkEnd w:id="13"/>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ind w:firstLine="420"/>
              <w:rPr>
                <w:lang w:val="en-US"/>
              </w:rPr>
            </w:pPr>
            <w:bookmarkStart w:id="14" w:name="项目地点"/>
            <w:r>
              <w:t>阳泉</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5" w:name="光气候分区"/>
            <w:r>
              <w:t>III</w:t>
            </w:r>
            <w:bookmarkEnd w:id="15"/>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7" w:name="地上建筑面积"/>
            <w:r>
              <w:t>317.74</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9" w:name="地上建筑层数"/>
            <w:r>
              <w:t>1</w:t>
            </w:r>
            <w:bookmarkEnd w:id="19"/>
            <w:r>
              <w:rPr>
                <w:rFonts w:hint="eastAsia"/>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1" w:name="地上建筑高度"/>
            <w:r>
              <w:t>8.00</w:t>
            </w:r>
            <w:bookmarkEnd w:id="21"/>
            <w:r>
              <w:rPr>
                <w:rFonts w:hint="eastAsia"/>
                <w:lang w:val="en-US"/>
              </w:rPr>
              <w:t xml:space="preserve"> m     地下  </w:t>
            </w:r>
            <w:bookmarkStart w:id="22" w:name="地下建筑高度"/>
            <w:r>
              <w:t>0.00</w:t>
            </w:r>
            <w:bookmarkEnd w:id="22"/>
            <w:r>
              <w:rPr>
                <w:rFonts w:hint="eastAsia"/>
                <w:lang w:val="en-US"/>
              </w:rPr>
              <w:t>m</w:t>
            </w:r>
          </w:p>
        </w:tc>
      </w:tr>
      <w:tr>
        <w:tblPrEx>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3" w:name="备注"/>
            <w:bookmarkEnd w:id="23"/>
          </w:p>
        </w:tc>
      </w:tr>
    </w:tbl>
    <w:p>
      <w:pPr>
        <w:kinsoku w:val="0"/>
        <w:spacing w:line="400" w:lineRule="atLeast"/>
        <w:ind w:firstLine="420"/>
        <w:rPr>
          <w:szCs w:val="21"/>
          <w:lang w:val="en-US"/>
        </w:rPr>
      </w:pPr>
    </w:p>
    <w:p>
      <w:pPr>
        <w:kinsoku w:val="0"/>
        <w:spacing w:line="400" w:lineRule="atLeast"/>
        <w:ind w:firstLine="420"/>
        <w:rPr>
          <w:szCs w:val="21"/>
          <w:lang w:val="en-US"/>
        </w:rPr>
      </w:pPr>
    </w:p>
    <w:p>
      <w:pPr>
        <w:pStyle w:val="2"/>
        <w:rPr>
          <w:rFonts w:ascii="微软雅黑" w:hAnsi="微软雅黑"/>
        </w:rPr>
      </w:pPr>
      <w:bookmarkStart w:id="24" w:name="_Toc512608178"/>
      <w:bookmarkStart w:id="25" w:name="_Toc20312514"/>
      <w:bookmarkStart w:id="26" w:name="_Toc13892"/>
      <w:r>
        <w:rPr>
          <w:rFonts w:hint="eastAsia" w:ascii="微软雅黑" w:hAnsi="微软雅黑"/>
        </w:rPr>
        <w:t>计算</w:t>
      </w:r>
      <w:r>
        <w:rPr>
          <w:rFonts w:ascii="微软雅黑" w:hAnsi="微软雅黑"/>
        </w:rPr>
        <w:t>目的</w:t>
      </w:r>
      <w:bookmarkEnd w:id="24"/>
      <w:bookmarkEnd w:id="25"/>
      <w:bookmarkEnd w:id="26"/>
    </w:p>
    <w:p>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rPr>
          <w:rFonts w:ascii="微软雅黑" w:hAnsi="微软雅黑"/>
        </w:rPr>
      </w:pPr>
      <w:bookmarkStart w:id="27" w:name="_Toc512608177"/>
      <w:bookmarkStart w:id="28" w:name="_Toc20312515"/>
      <w:bookmarkStart w:id="29" w:name="_Toc27853"/>
      <w:r>
        <w:rPr>
          <w:rFonts w:hint="eastAsia" w:ascii="微软雅黑" w:hAnsi="微软雅黑"/>
        </w:rPr>
        <w:t>分析依据</w:t>
      </w:r>
      <w:bookmarkEnd w:id="27"/>
      <w:bookmarkEnd w:id="28"/>
      <w:bookmarkEnd w:id="29"/>
    </w:p>
    <w:p>
      <w:pPr>
        <w:pStyle w:val="4"/>
        <w:rPr>
          <w:rFonts w:ascii="微软雅黑" w:hAnsi="微软雅黑"/>
        </w:rPr>
      </w:pPr>
      <w:bookmarkStart w:id="30" w:name="_Toc20312516"/>
      <w:bookmarkStart w:id="31" w:name="_Toc16459"/>
      <w:r>
        <w:rPr>
          <w:rFonts w:hint="eastAsia" w:ascii="微软雅黑" w:hAnsi="微软雅黑"/>
        </w:rPr>
        <w:t>标准依据</w:t>
      </w:r>
      <w:bookmarkEnd w:id="30"/>
      <w:bookmarkEnd w:id="31"/>
    </w:p>
    <w:p>
      <w:pPr>
        <w:pStyle w:val="3"/>
        <w:numPr>
          <w:ilvl w:val="0"/>
          <w:numId w:val="2"/>
        </w:numPr>
        <w:rPr>
          <w:lang w:val="en-US"/>
        </w:rPr>
      </w:pPr>
      <w:bookmarkStart w:id="32"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kinsoku w:val="0"/>
        <w:spacing w:line="400" w:lineRule="atLeast"/>
        <w:ind w:left="1320"/>
        <w:jc w:val="both"/>
        <w:rPr>
          <w:szCs w:val="21"/>
          <w:lang w:val="en-US"/>
        </w:rPr>
      </w:pPr>
    </w:p>
    <w:p>
      <w:pPr>
        <w:pStyle w:val="4"/>
        <w:rPr>
          <w:rFonts w:ascii="微软雅黑" w:hAnsi="微软雅黑"/>
        </w:rPr>
      </w:pPr>
      <w:bookmarkStart w:id="33" w:name="_Toc20312517"/>
      <w:bookmarkStart w:id="34" w:name="_Toc12531"/>
      <w:r>
        <w:rPr>
          <w:rFonts w:hint="eastAsia" w:ascii="微软雅黑" w:hAnsi="微软雅黑"/>
        </w:rPr>
        <w:t>标准要求</w:t>
      </w:r>
      <w:bookmarkEnd w:id="32"/>
      <w:bookmarkEnd w:id="33"/>
      <w:bookmarkEnd w:id="34"/>
    </w:p>
    <w:p>
      <w:pPr>
        <w:kinsoku w:val="0"/>
        <w:spacing w:line="360" w:lineRule="auto"/>
        <w:ind w:firstLine="420"/>
        <w:jc w:val="left"/>
        <w:rPr>
          <w:b/>
          <w:sz w:val="21"/>
          <w:szCs w:val="21"/>
          <w:lang w:val="en-US"/>
        </w:rPr>
      </w:pPr>
      <w:r>
        <w:rPr>
          <w:rFonts w:hint="eastAsia"/>
          <w:sz w:val="21"/>
          <w:szCs w:val="21"/>
          <w:lang w:val="en-US"/>
        </w:rPr>
        <w:t xml:space="preserve">■ </w:t>
      </w:r>
      <w:r>
        <w:rPr>
          <w:rFonts w:hint="eastAsia"/>
          <w:b/>
          <w:sz w:val="21"/>
          <w:szCs w:val="21"/>
          <w:lang w:val="en-US"/>
        </w:rPr>
        <w:t>《绿色建筑评价标准》GB/T 50378-2019</w:t>
      </w:r>
      <w:r>
        <w:rPr>
          <w:b/>
          <w:sz w:val="21"/>
          <w:szCs w:val="21"/>
          <w:lang w:val="en-US"/>
        </w:rPr>
        <w:t xml:space="preserve">    </w:t>
      </w:r>
    </w:p>
    <w:p>
      <w:pPr>
        <w:kinsoku w:val="0"/>
        <w:spacing w:line="360" w:lineRule="auto"/>
        <w:ind w:firstLine="420"/>
        <w:jc w:val="left"/>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pPr>
        <w:ind w:firstLine="420"/>
        <w:jc w:val="left"/>
        <w:rPr>
          <w:sz w:val="21"/>
        </w:rPr>
      </w:pPr>
      <w:r>
        <w:rPr>
          <w:sz w:val="21"/>
        </w:rPr>
        <w:t>住宅建筑室内主要功能空间至少60%面积比例区域，其采光照度值不低于300lx的小时数平均不少于8h/d，得9分。</w:t>
      </w:r>
    </w:p>
    <w:p>
      <w:pPr>
        <w:pStyle w:val="40"/>
        <w:ind w:left="420" w:firstLine="0"/>
        <w:jc w:val="left"/>
        <w:rPr>
          <w:sz w:val="32"/>
          <w:lang w:val="en-US"/>
        </w:rPr>
      </w:pPr>
      <w:r>
        <w:rPr>
          <w:rFonts w:hint="eastAsia"/>
          <w:sz w:val="21"/>
          <w:szCs w:val="21"/>
          <w:lang w:val="en-US"/>
        </w:rPr>
        <w:t>■</w:t>
      </w:r>
      <w:r>
        <w:rPr>
          <w:rFonts w:hint="eastAsia"/>
          <w:b/>
          <w:sz w:val="21"/>
          <w:szCs w:val="21"/>
          <w:lang w:val="en-US"/>
        </w:rPr>
        <w:t>《绿色建筑评价标准技术细则2019》相关内容</w:t>
      </w:r>
    </w:p>
    <w:p>
      <w:pPr>
        <w:ind w:firstLine="420"/>
        <w:jc w:val="left"/>
        <w:rPr>
          <w:sz w:val="21"/>
        </w:rPr>
      </w:pPr>
      <w:r>
        <w:rPr>
          <w:rFonts w:hint="eastAsia"/>
          <w:sz w:val="21"/>
        </w:rPr>
        <w:t>《绿色建筑评价标准技术细则2019》住宅建筑动态采光要求指出：</w:t>
      </w:r>
    </w:p>
    <w:p>
      <w:pPr>
        <w:ind w:left="360" w:leftChars="200"/>
        <w:jc w:val="left"/>
        <w:rPr>
          <w:sz w:val="21"/>
        </w:rPr>
      </w:pPr>
      <w:r>
        <w:rPr>
          <w:sz w:val="21"/>
        </w:rPr>
        <w:t>1.</w:t>
      </w:r>
      <w:r>
        <w:rPr>
          <w:rFonts w:hint="eastAsia"/>
          <w:sz w:val="21"/>
        </w:rPr>
        <w:t>住宅建筑主要功能房间包括卧室、起居室（厅）等。宿舍建筑也按住宅建筑执行；</w:t>
      </w:r>
    </w:p>
    <w:p>
      <w:pPr>
        <w:ind w:left="360" w:leftChars="200"/>
        <w:jc w:val="left"/>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pPr>
        <w:ind w:left="360" w:leftChars="200"/>
        <w:jc w:val="left"/>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pPr>
        <w:ind w:firstLine="420"/>
      </w:pPr>
    </w:p>
    <w:p>
      <w:pPr>
        <w:pStyle w:val="2"/>
        <w:rPr>
          <w:rFonts w:ascii="微软雅黑" w:hAnsi="微软雅黑"/>
        </w:rPr>
      </w:pPr>
      <w:bookmarkStart w:id="35" w:name="_Toc275165382"/>
      <w:bookmarkStart w:id="36" w:name="_Toc20312518"/>
      <w:bookmarkStart w:id="37" w:name="_Toc290149054"/>
      <w:bookmarkStart w:id="38" w:name="_Toc290209312"/>
      <w:bookmarkStart w:id="39" w:name="_Toc290209336"/>
      <w:bookmarkStart w:id="40" w:name="_Toc312399791"/>
      <w:bookmarkStart w:id="41" w:name="_Toc512608180"/>
      <w:bookmarkStart w:id="42" w:name="_Toc264043625"/>
      <w:bookmarkStart w:id="43" w:name="_Toc264569232"/>
      <w:bookmarkStart w:id="44" w:name="_Toc27712"/>
      <w:r>
        <w:rPr>
          <w:rFonts w:hint="eastAsia" w:ascii="微软雅黑" w:hAnsi="微软雅黑"/>
        </w:rPr>
        <w:t>采光分析</w:t>
      </w:r>
      <w:r>
        <w:rPr>
          <w:rFonts w:ascii="微软雅黑" w:hAnsi="微软雅黑"/>
        </w:rPr>
        <w:t>概述</w:t>
      </w:r>
      <w:bookmarkEnd w:id="35"/>
      <w:bookmarkEnd w:id="36"/>
      <w:bookmarkEnd w:id="37"/>
      <w:bookmarkEnd w:id="38"/>
      <w:bookmarkEnd w:id="39"/>
      <w:bookmarkEnd w:id="40"/>
      <w:bookmarkEnd w:id="41"/>
      <w:bookmarkEnd w:id="42"/>
      <w:bookmarkEnd w:id="43"/>
      <w:bookmarkEnd w:id="44"/>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rPr>
          <w:lang w:val="en-US"/>
        </w:rPr>
      </w:pPr>
      <w:r>
        <w:rPr>
          <w:rFonts w:hint="eastAsia"/>
        </w:rPr>
        <w:t>基于天然</w:t>
      </w:r>
      <w:r>
        <w:t>光</w:t>
      </w:r>
      <w:r>
        <w:rPr>
          <w:rFonts w:hint="eastAsia"/>
        </w:rPr>
        <w:t>气候数据的建筑</w:t>
      </w:r>
      <w:r>
        <w:t>采光</w:t>
      </w:r>
      <w:r>
        <w:rPr>
          <w:rFonts w:hint="eastAsia"/>
        </w:rPr>
        <w:t>全年</w:t>
      </w:r>
      <w:r>
        <w:t>动态分析</w:t>
      </w:r>
      <w:r>
        <w:rPr>
          <w:rFonts w:hint="eastAsia"/>
        </w:rPr>
        <w:t>，</w:t>
      </w:r>
      <w:r>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rPr>
          <w:rFonts w:ascii="微软雅黑" w:hAnsi="微软雅黑"/>
        </w:rPr>
      </w:pPr>
      <w:bookmarkStart w:id="45" w:name="_Toc534797343"/>
      <w:bookmarkStart w:id="46" w:name="_Toc512608181"/>
      <w:bookmarkStart w:id="47" w:name="_Toc26236"/>
      <w:r>
        <w:rPr>
          <w:rFonts w:hint="eastAsia" w:ascii="微软雅黑" w:hAnsi="微软雅黑"/>
        </w:rPr>
        <w:t>基本原理</w:t>
      </w:r>
      <w:bookmarkEnd w:id="45"/>
      <w:bookmarkEnd w:id="46"/>
      <w:bookmarkEnd w:id="47"/>
    </w:p>
    <w:p>
      <w:pPr>
        <w:pStyle w:val="14"/>
        <w:numPr>
          <w:ilvl w:val="0"/>
          <w:numId w:val="3"/>
        </w:numPr>
        <w:spacing w:line="360" w:lineRule="auto"/>
        <w:rPr>
          <w:rFonts w:ascii="微软雅黑" w:hAnsi="微软雅黑"/>
          <w:b/>
          <w:sz w:val="21"/>
          <w:szCs w:val="21"/>
        </w:rPr>
      </w:pPr>
      <w:r>
        <w:rPr>
          <w:rFonts w:hint="eastAsia" w:ascii="微软雅黑" w:hAnsi="微软雅黑"/>
          <w:b/>
          <w:sz w:val="21"/>
          <w:szCs w:val="21"/>
        </w:rPr>
        <w:t>动态采光</w:t>
      </w:r>
    </w:p>
    <w:p>
      <w:pPr>
        <w:pStyle w:val="3"/>
        <w:ind w:firstLine="420" w:firstLineChars="200"/>
      </w:pPr>
      <w:bookmarkStart w:id="48" w:name="_Toc534797344"/>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90209317"/>
      <w:bookmarkStart w:id="50" w:name="_Toc275165387"/>
      <w:bookmarkStart w:id="51" w:name="_Toc264569237"/>
      <w:bookmarkStart w:id="52" w:name="_Toc312399796"/>
      <w:bookmarkStart w:id="53" w:name="_Toc290149059"/>
      <w:bookmarkStart w:id="54" w:name="_Toc264043630"/>
      <w:bookmarkStart w:id="55" w:name="_Toc290209341"/>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9"/>
    <w:bookmarkEnd w:id="50"/>
    <w:bookmarkEnd w:id="51"/>
    <w:bookmarkEnd w:id="52"/>
    <w:bookmarkEnd w:id="53"/>
    <w:bookmarkEnd w:id="54"/>
    <w:bookmarkEnd w:id="55"/>
    <w:p>
      <w:pPr>
        <w:pStyle w:val="4"/>
        <w:rPr>
          <w:rFonts w:ascii="微软雅黑" w:hAnsi="微软雅黑"/>
        </w:rPr>
      </w:pPr>
      <w:bookmarkStart w:id="56" w:name="_Toc14223"/>
      <w:r>
        <w:rPr>
          <w:rFonts w:hint="eastAsia" w:ascii="微软雅黑" w:hAnsi="微软雅黑"/>
        </w:rPr>
        <w:t>计算方法</w:t>
      </w:r>
      <w:bookmarkEnd w:id="48"/>
      <w:bookmarkEnd w:id="56"/>
    </w:p>
    <w:p>
      <w:pPr>
        <w:pStyle w:val="3"/>
        <w:ind w:firstLine="420" w:firstLineChars="200"/>
        <w:rPr>
          <w:kern w:val="2"/>
          <w:lang w:val="en-US"/>
        </w:rPr>
      </w:pPr>
      <w:bookmarkStart w:id="57"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rPr>
          <w:rFonts w:ascii="微软雅黑" w:hAnsi="微软雅黑"/>
        </w:rPr>
      </w:pPr>
      <w:bookmarkStart w:id="58" w:name="_Toc30835"/>
      <w:r>
        <w:rPr>
          <w:rFonts w:ascii="微软雅黑" w:hAnsi="微软雅黑"/>
        </w:rPr>
        <w:t>软件</w:t>
      </w:r>
      <w:r>
        <w:rPr>
          <w:rFonts w:hint="eastAsia" w:ascii="微软雅黑" w:hAnsi="微软雅黑"/>
        </w:rPr>
        <w:t>选用</w:t>
      </w:r>
      <w:bookmarkEnd w:id="57"/>
      <w:bookmarkEnd w:id="58"/>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rPr>
          <w:rFonts w:ascii="微软雅黑" w:hAnsi="微软雅黑"/>
        </w:rPr>
      </w:pPr>
      <w:bookmarkStart w:id="59" w:name="_Toc32542"/>
      <w:r>
        <w:rPr>
          <w:rFonts w:hint="eastAsia" w:ascii="微软雅黑" w:hAnsi="微软雅黑"/>
        </w:rPr>
        <w:t>计算参数选用</w:t>
      </w:r>
      <w:bookmarkEnd w:id="59"/>
    </w:p>
    <w:p>
      <w:pPr>
        <w:pStyle w:val="4"/>
        <w:rPr>
          <w:rFonts w:ascii="微软雅黑" w:hAnsi="微软雅黑"/>
        </w:rPr>
      </w:pPr>
      <w:bookmarkStart w:id="60" w:name="_Toc7689"/>
      <w:r>
        <w:rPr>
          <w:rFonts w:hint="eastAsia" w:ascii="微软雅黑" w:hAnsi="微软雅黑"/>
        </w:rPr>
        <w:t>模拟条件</w:t>
      </w:r>
      <w:bookmarkEnd w:id="60"/>
    </w:p>
    <w:p>
      <w:pPr>
        <w:pStyle w:val="3"/>
        <w:ind w:left="360" w:leftChars="200"/>
        <w:rPr>
          <w:b/>
          <w:lang w:val="en-US"/>
        </w:rPr>
      </w:pPr>
      <w:r>
        <w:rPr>
          <w:rFonts w:hint="eastAsia"/>
          <w:b/>
          <w:lang w:val="en-US"/>
        </w:rPr>
        <w:t>气象数据来源：</w:t>
      </w:r>
      <w:bookmarkStart w:id="61" w:name="气象数据"/>
      <w:r>
        <w:rPr>
          <w:rFonts w:hint="eastAsia"/>
          <w:lang w:val="en-US"/>
        </w:rPr>
        <w:t>《中国建筑热环境分析专用气象数据集》</w:t>
      </w:r>
      <w:bookmarkEnd w:id="61"/>
    </w:p>
    <w:p>
      <w:pPr>
        <w:pStyle w:val="3"/>
        <w:ind w:left="36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pPr>
        <w:pStyle w:val="3"/>
        <w:ind w:left="36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4" w:name="网格划分小房间面积"/>
            <w:r>
              <w:rPr>
                <w:rFonts w:hint="eastAsia"/>
              </w:rPr>
              <w:t>10</w:t>
            </w:r>
            <w:bookmarkEnd w:id="64"/>
          </w:p>
        </w:tc>
        <w:tc>
          <w:tcPr>
            <w:tcW w:w="3272" w:type="dxa"/>
            <w:shd w:val="clear" w:color="auto" w:fill="auto"/>
            <w:vAlign w:val="center"/>
          </w:tcPr>
          <w:p>
            <w:bookmarkStart w:id="65" w:name="小房间网格大小"/>
            <w:r>
              <w:rPr>
                <w:rFonts w:hint="eastAsia"/>
              </w:rPr>
              <w:t>0.25</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6" w:name="网格划分房间面积"/>
            <w:r>
              <w:rPr>
                <w:rFonts w:hint="eastAsia"/>
              </w:rPr>
              <w:t>10~100</w:t>
            </w:r>
            <w:bookmarkEnd w:id="66"/>
          </w:p>
        </w:tc>
        <w:tc>
          <w:tcPr>
            <w:tcW w:w="3272" w:type="dxa"/>
            <w:shd w:val="clear" w:color="auto" w:fill="auto"/>
            <w:vAlign w:val="center"/>
          </w:tcPr>
          <w:p>
            <w:bookmarkStart w:id="67" w:name="网格大小"/>
            <w:r>
              <w:rPr>
                <w:rFonts w:hint="eastAsia"/>
              </w:rPr>
              <w:t>0.50</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8" w:name="网格划分大房间面积"/>
            <w:r>
              <w:rPr>
                <w:rFonts w:hint="eastAsia"/>
              </w:rPr>
              <w:t>100</w:t>
            </w:r>
            <w:bookmarkEnd w:id="68"/>
          </w:p>
        </w:tc>
        <w:tc>
          <w:tcPr>
            <w:tcW w:w="3272" w:type="dxa"/>
            <w:shd w:val="clear" w:color="auto" w:fill="auto"/>
            <w:vAlign w:val="center"/>
          </w:tcPr>
          <w:p>
            <w:bookmarkStart w:id="69" w:name="大房间网格大小"/>
            <w:r>
              <w:rPr>
                <w:rFonts w:hint="eastAsia"/>
              </w:rPr>
              <w:t>1.00</w:t>
            </w:r>
            <w:bookmarkEnd w:id="69"/>
          </w:p>
        </w:tc>
      </w:tr>
    </w:tbl>
    <w:p>
      <w:pPr>
        <w:pStyle w:val="3"/>
        <w:ind w:left="360" w:leftChars="200"/>
      </w:pPr>
      <w:r>
        <w:rPr>
          <w:rFonts w:hint="eastAsia"/>
          <w:b/>
        </w:rPr>
        <w:t>周边环境：</w:t>
      </w:r>
      <w:r>
        <w:rPr>
          <w:rFonts w:hint="eastAsia"/>
        </w:rPr>
        <w:t>考虑分析区内的建筑物之间遮挡；</w:t>
      </w:r>
    </w:p>
    <w:p>
      <w:pPr>
        <w:pStyle w:val="4"/>
        <w:rPr>
          <w:rFonts w:ascii="微软雅黑" w:hAnsi="微软雅黑"/>
        </w:rPr>
      </w:pPr>
      <w:bookmarkStart w:id="70" w:name="_Toc15287"/>
      <w:r>
        <w:rPr>
          <w:rFonts w:hint="eastAsia" w:ascii="微软雅黑" w:hAnsi="微软雅黑"/>
        </w:rPr>
        <w:t>建筑饰面材料参数</w:t>
      </w:r>
      <w:bookmarkEnd w:id="70"/>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r>
              <w:rPr>
                <w:rFonts w:hint="eastAsia"/>
              </w:rPr>
              <w:t>位置</w:t>
            </w:r>
          </w:p>
        </w:tc>
        <w:tc>
          <w:tcPr>
            <w:tcW w:w="1732" w:type="dxa"/>
            <w:tcBorders>
              <w:top w:val="single" w:color="auto" w:sz="12" w:space="0"/>
              <w:bottom w:val="single" w:color="auto" w:sz="4" w:space="0"/>
            </w:tcBorders>
            <w:shd w:val="clear" w:color="auto" w:fill="E6E6E6"/>
            <w:vAlign w:val="center"/>
          </w:tcPr>
          <w:p>
            <w:r>
              <w:rPr>
                <w:rFonts w:hint="eastAsia"/>
              </w:rPr>
              <w:t>顶棚</w:t>
            </w:r>
          </w:p>
        </w:tc>
        <w:tc>
          <w:tcPr>
            <w:tcW w:w="1732" w:type="dxa"/>
            <w:tcBorders>
              <w:top w:val="single" w:color="auto" w:sz="12" w:space="0"/>
              <w:bottom w:val="single" w:color="auto" w:sz="4" w:space="0"/>
            </w:tcBorders>
            <w:shd w:val="clear" w:color="auto" w:fill="E6E6E6"/>
          </w:tcPr>
          <w:p>
            <w:r>
              <w:rPr>
                <w:rFonts w:hint="eastAsia"/>
              </w:rPr>
              <w:t>地面</w:t>
            </w:r>
          </w:p>
        </w:tc>
        <w:tc>
          <w:tcPr>
            <w:tcW w:w="1732" w:type="dxa"/>
            <w:tcBorders>
              <w:top w:val="single" w:color="auto" w:sz="12" w:space="0"/>
              <w:bottom w:val="single" w:color="auto" w:sz="4" w:space="0"/>
            </w:tcBorders>
            <w:shd w:val="clear" w:color="auto" w:fill="E6E6E6"/>
          </w:tcPr>
          <w:p>
            <w:r>
              <w:rPr>
                <w:rFonts w:hint="eastAsia"/>
              </w:rPr>
              <w:t>墙面</w:t>
            </w:r>
          </w:p>
        </w:tc>
        <w:tc>
          <w:tcPr>
            <w:tcW w:w="173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r>
              <w:rPr>
                <w:rFonts w:hint="eastAsia"/>
              </w:rPr>
              <w:t>反射比材料设计取值</w:t>
            </w:r>
          </w:p>
        </w:tc>
        <w:tc>
          <w:tcPr>
            <w:tcW w:w="1732" w:type="dxa"/>
            <w:tcBorders>
              <w:top w:val="single" w:color="auto" w:sz="4" w:space="0"/>
            </w:tcBorders>
            <w:shd w:val="clear" w:color="auto" w:fill="auto"/>
            <w:vAlign w:val="center"/>
          </w:tcPr>
          <w:p>
            <w:bookmarkStart w:id="71" w:name="顶棚反射比"/>
            <w:r>
              <w:rPr>
                <w:rFonts w:hint="eastAsia"/>
              </w:rPr>
              <w:t>0.75</w:t>
            </w:r>
            <w:bookmarkEnd w:id="71"/>
          </w:p>
        </w:tc>
        <w:tc>
          <w:tcPr>
            <w:tcW w:w="1732" w:type="dxa"/>
            <w:tcBorders>
              <w:top w:val="single" w:color="auto" w:sz="4" w:space="0"/>
            </w:tcBorders>
            <w:vAlign w:val="center"/>
          </w:tcPr>
          <w:p>
            <w:bookmarkStart w:id="72" w:name="地面反射比"/>
            <w:r>
              <w:rPr>
                <w:rFonts w:hint="eastAsia"/>
              </w:rPr>
              <w:t>0.30</w:t>
            </w:r>
            <w:bookmarkEnd w:id="72"/>
          </w:p>
        </w:tc>
        <w:tc>
          <w:tcPr>
            <w:tcW w:w="1732" w:type="dxa"/>
            <w:tcBorders>
              <w:top w:val="single" w:color="auto" w:sz="4" w:space="0"/>
            </w:tcBorders>
            <w:vAlign w:val="center"/>
          </w:tcPr>
          <w:p>
            <w:bookmarkStart w:id="73" w:name="墙面反射比"/>
            <w:r>
              <w:rPr>
                <w:rFonts w:hint="eastAsia"/>
              </w:rPr>
              <w:t>0.60</w:t>
            </w:r>
            <w:bookmarkEnd w:id="73"/>
          </w:p>
        </w:tc>
        <w:tc>
          <w:tcPr>
            <w:tcW w:w="1732" w:type="dxa"/>
            <w:tcBorders>
              <w:top w:val="single" w:color="auto" w:sz="4" w:space="0"/>
            </w:tcBorders>
            <w:vAlign w:val="center"/>
          </w:tcPr>
          <w:p>
            <w:bookmarkStart w:id="74" w:name="外表面反射比"/>
            <w:r>
              <w:rPr>
                <w:rFonts w:hint="eastAsia"/>
              </w:rPr>
              <w:t>0.50</w:t>
            </w:r>
            <w:bookmarkEnd w:id="74"/>
          </w:p>
        </w:tc>
      </w:tr>
    </w:tbl>
    <w:p>
      <w:pPr>
        <w:pStyle w:val="14"/>
        <w:spacing w:line="360" w:lineRule="auto"/>
        <w:rPr>
          <w:rFonts w:ascii="微软雅黑" w:hAnsi="微软雅黑"/>
          <w:sz w:val="18"/>
          <w:szCs w:val="18"/>
        </w:rPr>
      </w:pPr>
      <w:r>
        <w:rPr>
          <w:rFonts w:ascii="微软雅黑" w:hAnsi="微软雅黑"/>
          <w:szCs w:val="21"/>
        </w:rPr>
        <w:tab/>
      </w:r>
    </w:p>
    <w:p>
      <w:pPr>
        <w:pStyle w:val="4"/>
        <w:rPr>
          <w:rFonts w:ascii="微软雅黑" w:hAnsi="微软雅黑"/>
        </w:rPr>
      </w:pPr>
      <w:bookmarkStart w:id="75" w:name="_Toc31183"/>
      <w:r>
        <w:rPr>
          <w:rFonts w:hint="eastAsia" w:ascii="微软雅黑" w:hAnsi="微软雅黑"/>
        </w:rPr>
        <w:t>门窗类型参数</w:t>
      </w:r>
      <w:bookmarkEnd w:id="75"/>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6" w:name="_Toc9935"/>
      <w:bookmarkStart w:id="77" w:name="窗"/>
      <w:r>
        <w:t>普通</w:t>
      </w:r>
      <w:r>
        <w:rPr>
          <w:rFonts w:hint="eastAsia"/>
        </w:rPr>
        <w:t>窗</w:t>
      </w:r>
      <w:bookmarkEnd w:id="76"/>
    </w:p>
    <w:bookmarkEnd w:id="77"/>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C1512</w:t>
            </w:r>
          </w:p>
        </w:tc>
        <w:tc>
          <w:tcPr>
            <w:vAlign w:val="center"/>
          </w:tcPr>
          <w:p>
            <w:r>
              <w:t>1500</w:t>
            </w:r>
          </w:p>
        </w:tc>
        <w:tc>
          <w:tcPr>
            <w:vAlign w:val="center"/>
          </w:tcPr>
          <w:p>
            <w:r>
              <w:t>1200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C2610</w:t>
            </w:r>
          </w:p>
        </w:tc>
        <w:tc>
          <w:tcPr>
            <w:vAlign w:val="center"/>
          </w:tcPr>
          <w:p>
            <w:r>
              <w:t>1500</w:t>
            </w:r>
          </w:p>
        </w:tc>
        <w:tc>
          <w:tcPr>
            <w:vAlign w:val="center"/>
          </w:tcPr>
          <w:p>
            <w:r>
              <w:t>1000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p>
    <w:p>
      <w:pPr>
        <w:pStyle w:val="5"/>
      </w:pPr>
      <w:bookmarkStart w:id="78" w:name="_Toc9197"/>
      <w:bookmarkStart w:id="79" w:name="幕墙"/>
      <w:r>
        <w:rPr>
          <w:rFonts w:hint="eastAsia"/>
        </w:rPr>
        <w:t>玻璃幕墙</w:t>
      </w:r>
      <w:bookmarkEnd w:id="78"/>
    </w:p>
    <w:bookmarkEnd w:id="79"/>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3320</w:t>
            </w:r>
          </w:p>
        </w:tc>
        <w:tc>
          <w:tcPr>
            <w:vAlign w:val="center"/>
          </w:tcPr>
          <w:p>
            <w:r>
              <w:t>1000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p>
    <w:p>
      <w:pPr>
        <w:pStyle w:val="5"/>
      </w:pPr>
      <w:bookmarkStart w:id="80" w:name="_Toc20312529"/>
      <w:bookmarkStart w:id="81" w:name="_Toc12901"/>
      <w:bookmarkStart w:id="82" w:name="天窗"/>
      <w:bookmarkStart w:id="83" w:name="_Toc20312530"/>
      <w:r>
        <w:rPr>
          <w:rFonts w:hint="eastAsia"/>
        </w:rPr>
        <w:t>天 窗</w:t>
      </w:r>
      <w:bookmarkEnd w:id="80"/>
      <w:bookmarkEnd w:id="81"/>
    </w:p>
    <w:bookmarkEnd w:id="82"/>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30700</w:t>
            </w:r>
          </w:p>
        </w:tc>
        <w:tc>
          <w:tcPr>
            <w:vAlign w:val="center"/>
          </w:tcPr>
          <w:p>
            <w:r>
              <w:t>2400</w:t>
            </w:r>
          </w:p>
        </w:tc>
        <w:tc>
          <w:tcPr>
            <w:vAlign w:val="center"/>
          </w:tcPr>
          <w:p>
            <w:r>
              <w:t>73.680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sz w:val="18"/>
          <w:szCs w:val="18"/>
          <w:lang w:val="en-US"/>
        </w:rPr>
      </w:pPr>
      <w:r>
        <w:rPr>
          <w:sz w:val="18"/>
          <w:szCs w:val="18"/>
          <w:lang w:val="en-US"/>
        </w:rPr>
        <w:t>注：</w:t>
      </w:r>
    </w:p>
    <w:p>
      <w:pPr>
        <w:pStyle w:val="3"/>
        <w:rPr>
          <w:sz w:val="18"/>
          <w:szCs w:val="18"/>
          <w:lang w:val="en-US"/>
        </w:rPr>
      </w:pPr>
      <w:r>
        <w:rPr>
          <w:sz w:val="18"/>
          <w:szCs w:val="18"/>
          <w:lang w:val="en-US"/>
        </w:rPr>
        <w:t>1.计算考虑了外窗玻璃的污染折减系数影响，系数取值和房间洁净度、玻璃倾角有关以及是否属于多雨地区有关。按照《建筑采光设计标准》GB50033附录表D.0.7取值。</w:t>
      </w:r>
    </w:p>
    <w:p>
      <w:pPr>
        <w:pStyle w:val="3"/>
        <w:rPr>
          <w:sz w:val="18"/>
          <w:szCs w:val="18"/>
          <w:lang w:val="en-US"/>
        </w:rPr>
      </w:pPr>
      <w:bookmarkStart w:id="84" w:name="窗污染折减系数"/>
      <w:bookmarkEnd w:id="84"/>
    </w:p>
    <w:p>
      <w:pPr>
        <w:pStyle w:val="2"/>
        <w:rPr>
          <w:rFonts w:ascii="微软雅黑" w:hAnsi="微软雅黑"/>
        </w:rPr>
      </w:pPr>
      <w:bookmarkStart w:id="85" w:name="_Toc32500"/>
      <w:r>
        <w:rPr>
          <w:rFonts w:hint="eastAsia" w:ascii="微软雅黑" w:hAnsi="微软雅黑"/>
        </w:rPr>
        <w:t>动态采光达标统计</w:t>
      </w:r>
      <w:bookmarkEnd w:id="83"/>
      <w:bookmarkEnd w:id="85"/>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比例(%)</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X033</w:t>
            </w:r>
          </w:p>
        </w:tc>
        <w:tc>
          <w:tcPr>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18.90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X034</w:t>
            </w:r>
          </w:p>
        </w:tc>
        <w:tc>
          <w:tcPr>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18.90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X035</w:t>
            </w:r>
          </w:p>
        </w:tc>
        <w:tc>
          <w:tcPr>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18.90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X036</w:t>
            </w:r>
          </w:p>
        </w:tc>
        <w:tc>
          <w:tcPr>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18.90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X038</w:t>
            </w:r>
          </w:p>
        </w:tc>
        <w:tc>
          <w:tcPr>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19.79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X089</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4.75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X091</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4.75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X092</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4.50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X093</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4.75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X094</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4.50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X095</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4.75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X096</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4.50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X098</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4.50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X099</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4.79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X100</w:t>
            </w:r>
          </w:p>
        </w:tc>
        <w:tc>
          <w:tcPr>
            <w:vAlign w:val="center"/>
          </w:tcPr>
          <w:p>
            <w:pPr>
              <w:jc w:val="center"/>
            </w:pPr>
            <w:r>
              <w:t>客房</w:t>
            </w:r>
          </w:p>
        </w:tc>
        <w:tc>
          <w:tcPr>
            <w:gridSpan w:val="2"/>
            <w:vAlign w:val="center"/>
          </w:tcPr>
          <w:p>
            <w:pPr>
              <w:jc w:val="center"/>
            </w:pPr>
            <w:r>
              <w:t>IV</w:t>
            </w:r>
          </w:p>
        </w:tc>
        <w:tc>
          <w:tcPr>
            <w:vAlign w:val="center"/>
          </w:tcPr>
          <w:p>
            <w:pPr>
              <w:jc w:val="center"/>
            </w:pPr>
            <w:r>
              <w:t>顶部</w:t>
            </w:r>
          </w:p>
        </w:tc>
        <w:tc>
          <w:tcPr>
            <w:gridSpan w:val="2"/>
            <w:vAlign w:val="center"/>
          </w:tcPr>
          <w:p>
            <w:pPr>
              <w:jc w:val="center"/>
            </w:pPr>
            <w:r>
              <w:t>150</w:t>
            </w:r>
          </w:p>
        </w:tc>
        <w:tc>
          <w:tcPr>
            <w:gridSpan w:val="2"/>
            <w:vAlign w:val="center"/>
          </w:tcPr>
          <w:p>
            <w:pPr>
              <w:jc w:val="center"/>
            </w:pPr>
            <w:r>
              <w:t>4.50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达标面积比例(%)</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客房</w:t>
            </w:r>
          </w:p>
        </w:tc>
        <w:tc>
          <w:tcPr>
            <w:gridSpan w:val="3"/>
            <w:vAlign w:val="center"/>
          </w:tcPr>
          <w:p>
            <w:pPr>
              <w:jc w:val="center"/>
            </w:pPr>
            <w:r>
              <w:t>侧面</w:t>
            </w:r>
          </w:p>
        </w:tc>
        <w:tc>
          <w:tcPr>
            <w:gridSpan w:val="3"/>
            <w:vAlign w:val="center"/>
          </w:tcPr>
          <w:p>
            <w:pPr>
              <w:jc w:val="center"/>
            </w:pPr>
            <w:r>
              <w:t>300</w:t>
            </w:r>
          </w:p>
        </w:tc>
        <w:tc>
          <w:tcPr>
            <w:gridSpan w:val="2"/>
            <w:vAlign w:val="center"/>
          </w:tcPr>
          <w:p>
            <w:pPr>
              <w:jc w:val="center"/>
            </w:pPr>
            <w:r>
              <w:t>95.39</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客房</w:t>
            </w:r>
          </w:p>
        </w:tc>
        <w:tc>
          <w:tcPr>
            <w:gridSpan w:val="3"/>
            <w:vAlign w:val="center"/>
          </w:tcPr>
          <w:p>
            <w:pPr>
              <w:jc w:val="center"/>
            </w:pPr>
            <w:r>
              <w:t>顶部</w:t>
            </w:r>
          </w:p>
        </w:tc>
        <w:tc>
          <w:tcPr>
            <w:gridSpan w:val="3"/>
            <w:vAlign w:val="center"/>
          </w:tcPr>
          <w:p>
            <w:pPr>
              <w:jc w:val="center"/>
            </w:pPr>
            <w:r>
              <w:t>150</w:t>
            </w:r>
          </w:p>
        </w:tc>
        <w:tc>
          <w:tcPr>
            <w:gridSpan w:val="2"/>
            <w:vAlign w:val="center"/>
          </w:tcPr>
          <w:p>
            <w:pPr>
              <w:jc w:val="center"/>
            </w:pPr>
            <w:r>
              <w:t>46.29</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t>100</w:t>
            </w:r>
          </w:p>
        </w:tc>
        <w:tc>
          <w:tcPr>
            <w:gridSpan w:val="3"/>
            <w:vAlign w:val="center"/>
          </w:tcPr>
          <w:p>
            <w:pPr>
              <w:jc w:val="center"/>
            </w:pPr>
            <w:r>
              <w:rPr>
                <w:b/>
              </w:rPr>
              <w:t>9分</w:t>
            </w:r>
          </w:p>
        </w:tc>
      </w:tr>
    </w:tbl>
    <w:p>
      <w:bookmarkStart w:id="86" w:name="达标率表格"/>
      <w:bookmarkEnd w:id="86"/>
    </w:p>
    <w:p>
      <w:pPr>
        <w:pStyle w:val="3"/>
        <w:ind w:firstLine="420"/>
      </w:pPr>
    </w:p>
    <w:p>
      <w:pPr>
        <w:pStyle w:val="2"/>
        <w:rPr>
          <w:rFonts w:ascii="微软雅黑" w:hAnsi="微软雅黑"/>
        </w:rPr>
      </w:pPr>
      <w:bookmarkStart w:id="87" w:name="_Toc513555457"/>
      <w:bookmarkStart w:id="88" w:name="_Toc38990802"/>
      <w:bookmarkStart w:id="89" w:name="_Toc21782"/>
      <w:r>
        <w:rPr>
          <w:rFonts w:hint="eastAsia" w:ascii="微软雅黑" w:hAnsi="微软雅黑"/>
        </w:rPr>
        <w:t>动态采光</w:t>
      </w:r>
      <w:bookmarkEnd w:id="87"/>
      <w:r>
        <w:rPr>
          <w:rFonts w:hint="eastAsia" w:ascii="微软雅黑" w:hAnsi="微软雅黑"/>
        </w:rPr>
        <w:t>统计图</w:t>
      </w:r>
      <w:bookmarkEnd w:id="88"/>
      <w:bookmarkEnd w:id="89"/>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90" w:name="逐日统计图"/>
      <w:bookmarkEnd w:id="90"/>
      <w:r>
        <w:drawing>
          <wp:inline distT="0" distB="0" distL="0" distR="0">
            <wp:extent cx="5667375" cy="31242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1"/>
                    <a:stretch>
                      <a:fillRect/>
                    </a:stretch>
                  </pic:blipFill>
                  <pic:spPr>
                    <a:xfrm>
                      <a:off x="0" y="0"/>
                      <a:ext cx="5667375" cy="3124200"/>
                    </a:xfrm>
                    <a:prstGeom prst="rect">
                      <a:avLst/>
                    </a:prstGeom>
                  </pic:spPr>
                </pic:pic>
              </a:graphicData>
            </a:graphic>
          </wp:inline>
        </w:drawing>
      </w:r>
    </w:p>
    <w:p>
      <w:pPr>
        <w:pStyle w:val="3"/>
        <w:jc w:val="center"/>
        <w:rPr>
          <w:lang w:val="en-US"/>
        </w:rPr>
      </w:pPr>
      <w:r>
        <w:rPr>
          <w:rFonts w:hint="eastAsia"/>
          <w:lang w:val="en-US"/>
        </w:rPr>
        <w:t>动态采光逐日统计图</w:t>
      </w:r>
    </w:p>
    <w:p>
      <w:pPr>
        <w:pStyle w:val="3"/>
        <w:jc w:val="center"/>
        <w:rPr>
          <w:b/>
          <w:bCs/>
          <w:lang w:val="en-US"/>
        </w:rPr>
      </w:pPr>
      <w:bookmarkStart w:id="91" w:name="逐月统计图"/>
      <w:bookmarkEnd w:id="91"/>
      <w:r>
        <w:drawing>
          <wp:inline distT="0" distB="0" distL="0" distR="0">
            <wp:extent cx="5667375" cy="312420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pPr>
        <w:pStyle w:val="3"/>
        <w:jc w:val="center"/>
        <w:rPr>
          <w:lang w:val="en-US"/>
        </w:rPr>
      </w:pPr>
      <w:r>
        <w:rPr>
          <w:rFonts w:hint="eastAsia"/>
          <w:lang w:val="en-US"/>
        </w:rPr>
        <w:t>动态采光逐月统计图</w:t>
      </w:r>
    </w:p>
    <w:p>
      <w:pPr>
        <w:pStyle w:val="3"/>
        <w:jc w:val="center"/>
        <w:rPr>
          <w:b/>
          <w:bCs/>
          <w:lang w:val="en-US"/>
        </w:rPr>
      </w:pPr>
    </w:p>
    <w:p>
      <w:pPr>
        <w:pStyle w:val="2"/>
        <w:rPr>
          <w:rFonts w:ascii="微软雅黑" w:hAnsi="微软雅黑"/>
        </w:rPr>
      </w:pPr>
      <w:bookmarkStart w:id="92" w:name="_Toc29742"/>
      <w:r>
        <w:rPr>
          <w:rFonts w:hint="eastAsia" w:ascii="微软雅黑" w:hAnsi="微软雅黑"/>
        </w:rPr>
        <w:t>评价结论</w:t>
      </w:r>
      <w:bookmarkEnd w:id="92"/>
    </w:p>
    <w:p>
      <w:pPr>
        <w:pStyle w:val="3"/>
        <w:ind w:firstLine="420" w:firstLineChars="200"/>
      </w:pPr>
      <w:r>
        <w:t>《绿色建筑评价标准》GB/T 50378-2019的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pPr>
              <w:pStyle w:val="3"/>
              <w:jc w:val="center"/>
            </w:pPr>
            <w:r>
              <w:t>采光总面积（</w:t>
            </w:r>
            <w:r>
              <w:rPr>
                <w:rFonts w:hint="eastAsia"/>
              </w:rPr>
              <w:t>m</w:t>
            </w:r>
            <w:r>
              <w:rPr>
                <w:vertAlign w:val="superscript"/>
              </w:rPr>
              <w:t>2</w:t>
            </w:r>
            <w:r>
              <w:t>）</w:t>
            </w:r>
          </w:p>
        </w:tc>
        <w:tc>
          <w:tcPr>
            <w:tcW w:w="2528" w:type="dxa"/>
            <w:shd w:val="clear" w:color="auto" w:fill="E6E6E6"/>
            <w:vAlign w:val="center"/>
          </w:tcPr>
          <w:p>
            <w:pPr>
              <w:pStyle w:val="3"/>
              <w:jc w:val="center"/>
            </w:pPr>
            <w:bookmarkStart w:id="93" w:name="动态评价指标"/>
            <w:r>
              <w:rPr>
                <w:rFonts w:hint="eastAsia"/>
              </w:rPr>
              <w:t>达标面积比例(%)</w:t>
            </w:r>
            <w:bookmarkEnd w:id="93"/>
          </w:p>
        </w:tc>
        <w:tc>
          <w:tcPr>
            <w:tcW w:w="1984" w:type="dxa"/>
            <w:shd w:val="clear" w:color="auto" w:fill="E6E6E6"/>
            <w:vAlign w:val="center"/>
          </w:tcPr>
          <w:p>
            <w:pPr>
              <w:pStyle w:val="3"/>
              <w:jc w:val="center"/>
            </w:pPr>
            <w:r>
              <w:rPr>
                <w:rFonts w:hint="eastAsia"/>
              </w:rPr>
              <w:t>标准</w:t>
            </w:r>
            <w:r>
              <w:t>要求</w:t>
            </w:r>
            <w:r>
              <w:rPr>
                <w:rFonts w:hint="eastAsia"/>
              </w:rPr>
              <w:t>（</w:t>
            </w:r>
            <w:bookmarkStart w:id="94" w:name="动态评价指标单位"/>
            <w:r>
              <w:rPr>
                <w:rFonts w:hint="eastAsia"/>
              </w:rPr>
              <w:t>%</w:t>
            </w:r>
            <w:bookmarkEnd w:id="94"/>
            <w:r>
              <w:rPr>
                <w:rFonts w:hint="eastAsia"/>
              </w:rPr>
              <w:t>）</w:t>
            </w:r>
          </w:p>
        </w:tc>
        <w:tc>
          <w:tcPr>
            <w:tcW w:w="1997" w:type="dxa"/>
            <w:shd w:val="clear" w:color="auto" w:fill="E6E6E6"/>
            <w:vAlign w:val="center"/>
          </w:tcPr>
          <w:p>
            <w:pPr>
              <w:pStyle w:val="3"/>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trPr>
        <w:tc>
          <w:tcPr>
            <w:tcW w:w="2169" w:type="dxa"/>
            <w:vAlign w:val="center"/>
          </w:tcPr>
          <w:p>
            <w:pPr>
              <w:pStyle w:val="3"/>
              <w:jc w:val="center"/>
            </w:pPr>
            <w:bookmarkStart w:id="95" w:name="采光面积"/>
            <w:r>
              <w:t>141.68</w:t>
            </w:r>
            <w:bookmarkEnd w:id="95"/>
          </w:p>
        </w:tc>
        <w:tc>
          <w:tcPr>
            <w:tcW w:w="2528" w:type="dxa"/>
            <w:vAlign w:val="center"/>
          </w:tcPr>
          <w:p>
            <w:pPr>
              <w:pStyle w:val="3"/>
              <w:jc w:val="center"/>
            </w:pPr>
            <w:bookmarkStart w:id="96" w:name="平均时数"/>
            <w:r>
              <w:t>100</w:t>
            </w:r>
            <w:bookmarkEnd w:id="96"/>
          </w:p>
        </w:tc>
        <w:tc>
          <w:tcPr>
            <w:tcW w:w="1984" w:type="dxa"/>
            <w:vAlign w:val="center"/>
          </w:tcPr>
          <w:p>
            <w:pPr>
              <w:pStyle w:val="3"/>
              <w:jc w:val="center"/>
            </w:pPr>
            <w:bookmarkStart w:id="97" w:name="动态评价指标要求"/>
            <w:r>
              <w:t>60</w:t>
            </w:r>
            <w:bookmarkEnd w:id="97"/>
          </w:p>
        </w:tc>
        <w:tc>
          <w:tcPr>
            <w:tcW w:w="1997" w:type="dxa"/>
            <w:vAlign w:val="center"/>
          </w:tcPr>
          <w:p>
            <w:pPr>
              <w:pStyle w:val="3"/>
              <w:jc w:val="center"/>
            </w:pPr>
            <w:bookmarkStart w:id="98" w:name="动态采光得分"/>
            <w:r>
              <w:t>9</w:t>
            </w:r>
            <w:bookmarkEnd w:id="98"/>
          </w:p>
        </w:tc>
      </w:tr>
    </w:tbl>
    <w:p>
      <w:pPr>
        <w:pStyle w:val="3"/>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ZGQ1MTQ1NzNmYzI2MWNhYjkxNTgyMzRmM2E1YWMifQ=="/>
  </w:docVars>
  <w:rsids>
    <w:rsidRoot w:val="0F3417ED"/>
    <w:rsid w:val="00021A54"/>
    <w:rsid w:val="00022F54"/>
    <w:rsid w:val="00022FE4"/>
    <w:rsid w:val="0003015C"/>
    <w:rsid w:val="00035337"/>
    <w:rsid w:val="00037A4C"/>
    <w:rsid w:val="000431C3"/>
    <w:rsid w:val="00045796"/>
    <w:rsid w:val="00047BEF"/>
    <w:rsid w:val="00047D27"/>
    <w:rsid w:val="00060BD8"/>
    <w:rsid w:val="000631B3"/>
    <w:rsid w:val="0006507C"/>
    <w:rsid w:val="00065CE6"/>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736B9"/>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8AA"/>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8FA"/>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 w:val="0F34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FollowedHyperlink"/>
    <w:uiPriority w:val="0"/>
    <w:rPr>
      <w:color w:val="800080"/>
      <w:u w:val="single"/>
    </w:rPr>
  </w:style>
  <w:style w:type="character" w:styleId="28">
    <w:name w:val="Hyperlink"/>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uiPriority w:val="0"/>
    <w:rPr>
      <w:rFonts w:eastAsia="微软雅黑"/>
      <w:b/>
      <w:bCs/>
      <w:kern w:val="32"/>
      <w:sz w:val="28"/>
      <w:szCs w:val="28"/>
    </w:rPr>
  </w:style>
  <w:style w:type="character" w:customStyle="1" w:styleId="42">
    <w:name w:val="标题 3 字符"/>
    <w:basedOn w:val="25"/>
    <w:link w:val="5"/>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8107-559C-433F-BE68-E474188E73FA}">
  <ds:schemaRefs/>
</ds:datastoreItem>
</file>

<file path=docProps/app.xml><?xml version="1.0" encoding="utf-8"?>
<Properties xmlns="http://schemas.openxmlformats.org/officeDocument/2006/extended-properties" xmlns:vt="http://schemas.openxmlformats.org/officeDocument/2006/docPropsVTypes">
  <Template>tmp7.dotx</Template>
  <Pages>9</Pages>
  <Words>3569</Words>
  <Characters>4399</Characters>
  <Lines>35</Lines>
  <Paragraphs>9</Paragraphs>
  <TotalTime>0</TotalTime>
  <ScaleCrop>false</ScaleCrop>
  <LinksUpToDate>false</LinksUpToDate>
  <CharactersWithSpaces>4506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2024-01-08T21:13:00Z</dcterms:created>
  <dc:creator>litwodog</dc:creator>
  <cp:lastModifiedBy>litwodog</cp:lastModifiedBy>
  <dcterms:modified xsi:type="dcterms:W3CDTF">2024-01-08T21:13:30Z</dcterms:modified>
  <dc:title>住宅动态采光达标率计算书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6E4407D668634BA19165E8FA0ECD647E_11</vt:lpwstr>
  </property>
  <property fmtid="{D5CDD505-2E9C-101B-9397-08002B2CF9AE}" pid="3" name="KSOProductBuildVer">
    <vt:lpwstr>2052-12.1.0.16120</vt:lpwstr>
  </property>
</Properties>
</file>