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2024年1月10日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T13513590990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29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_Toc32521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_Toc9933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_Toc9933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_Toc27543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_Toc27543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_Toc24677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_Toc24677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_Toc4651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_Toc4651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_Toc32569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_Toc32569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_Toc22560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_Toc22560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_Toc14251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_Toc14251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_Toc15095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_Toc15095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_Toc26937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_Toc26937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_Toc7223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_Toc7223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_Toc22366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_Toc22366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_Toc16691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_Toc16691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_Toc10952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_Toc10952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_Toc19965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_Toc19965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_Toc1262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_Toc1262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_Toc32029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_Toc32029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_Toc383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_Toc8634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_Toc8634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_Toc7251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_Toc7251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_Toc12380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_Toc12380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_Toc26551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_Toc10866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_Toc10866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_Toc7760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_Toc7760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rPr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_Toc27447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_Toc13550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_Toc13550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5.2.1 </w:t>
      </w:r>
      <w:r>
        <w:rPr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_Toc2233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_Toc29689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_Toc29689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_Toc20997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_Toc20997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_Toc7532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_Toc7532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_Toc31687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_Toc31687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_Toc2931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_Toc22244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_Toc22244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_Toc21797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新风负荷表</w:t>
      </w:r>
      <w:r>
        <w:tab/>
      </w:r>
      <w:r>
        <w:fldChar w:fldCharType="begin"/>
      </w:r>
      <w:r>
        <w:instrText xml:space="preserve"> PAGEREF _Toc21797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_Toc2255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  <w:bookmarkEnd w:id="129"/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0" w:name="_Toc32521"/>
      <w:r>
        <w:rPr>
          <w:szCs w:val="24"/>
          <w:lang w:val="en-US"/>
        </w:rPr>
        <w:t>建筑概况</w:t>
      </w:r>
      <w:bookmarkEnd w:id="10"/>
    </w:p>
    <w:p>
      <w:pPr>
        <w:pStyle w:val="4"/>
        <w:rPr>
          <w:szCs w:val="24"/>
          <w:lang w:val="en-US"/>
        </w:rPr>
      </w:pPr>
      <w:bookmarkStart w:id="11" w:name="_Toc9933"/>
      <w:r>
        <w:rPr>
          <w:szCs w:val="24"/>
          <w:lang w:val="en-US"/>
        </w:rP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山西-阳泉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37.85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113.55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793.10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12.50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2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2" w:name="_Toc27543"/>
      <w:r>
        <w:rPr>
          <w:szCs w:val="24"/>
          <w:lang w:val="en-US"/>
        </w:rP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3" w:name="_Toc24677"/>
      <w:r>
        <w:rPr>
          <w:szCs w:val="24"/>
          <w:lang w:val="en-US"/>
        </w:rP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vMerge w:val="restart"/>
            <w:vAlign w:val="center"/>
          </w:tcPr>
          <w:p>
            <w:r>
              <w:t>S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SE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H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4" w:name="_Toc4651"/>
      <w:r>
        <w:rPr>
          <w:szCs w:val="24"/>
          <w:lang w:val="en-US"/>
        </w:rP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vAlign w:val="center"/>
          </w:tcPr>
          <w:p>
            <w:r>
              <w:t>27.4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vAlign w:val="center"/>
          </w:tcPr>
          <w:p>
            <w:r>
              <w:t>32.8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vAlign w:val="center"/>
          </w:tcPr>
          <w:p>
            <w:r>
              <w:t>10.4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vAlign w:val="center"/>
          </w:tcPr>
          <w:p>
            <w:r>
              <w:t>23.6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vAlign w:val="center"/>
          </w:tcPr>
          <w:p>
            <w:r>
              <w:t>92380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5" w:name="_Toc32569"/>
      <w:r>
        <w:rPr>
          <w:szCs w:val="24"/>
          <w:lang w:val="en-US"/>
        </w:rPr>
        <w:t>计算依据</w:t>
      </w:r>
      <w:bookmarkEnd w:id="15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  <w:lang w:val="en-US"/>
        </w:rPr>
      </w:pPr>
      <w:bookmarkStart w:id="16" w:name="_Toc22560"/>
      <w:r>
        <w:rPr>
          <w:szCs w:val="24"/>
          <w:lang w:val="en-US"/>
        </w:rPr>
        <w:t>计算原理</w:t>
      </w:r>
      <w:bookmarkEnd w:id="16"/>
    </w:p>
    <w:p>
      <w:pPr>
        <w:pStyle w:val="4"/>
        <w:spacing w:line="240" w:lineRule="atLeast"/>
      </w:pPr>
      <w:bookmarkStart w:id="17" w:name="_Toc178151562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495932542"/>
      <w:bookmarkStart w:id="24" w:name="_Toc14251"/>
      <w:bookmarkStart w:id="25" w:name="_Toc45359313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pt;width:30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4"/>
      <w:bookmarkStart w:id="28" w:name="OLE_LINK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  <w:rPr>
          <w:rFonts w:hint="eastAsia"/>
        </w:rPr>
      </w:pPr>
      <w:bookmarkStart w:id="29" w:name="_Toc178152069"/>
      <w:bookmarkStart w:id="30" w:name="_Toc453593137"/>
      <w:bookmarkStart w:id="31" w:name="_Toc179712228"/>
      <w:bookmarkStart w:id="32" w:name="_Toc240280509"/>
      <w:bookmarkStart w:id="33" w:name="_Toc178151563"/>
      <w:bookmarkStart w:id="34" w:name="_Toc239133099"/>
      <w:bookmarkStart w:id="35" w:name="_Toc179707475"/>
      <w:bookmarkStart w:id="36" w:name="_Toc495932543"/>
      <w:bookmarkStart w:id="37" w:name="_Toc15095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8.75pt;width:132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ind w:firstLine="0" w:firstLineChars="0"/>
        <w:jc w:val="center"/>
        <w:rPr>
          <w:rFonts w:hint="eastAsia"/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8.75pt;width:54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  <w:rPr>
          <w:rFonts w:hint="eastAsia"/>
        </w:rPr>
      </w:pPr>
      <w:bookmarkStart w:id="38" w:name="_Toc179707476"/>
      <w:bookmarkStart w:id="39" w:name="_Toc178152070"/>
      <w:bookmarkStart w:id="40" w:name="_Toc453593138"/>
      <w:bookmarkStart w:id="41" w:name="_Toc240280510"/>
      <w:bookmarkStart w:id="42" w:name="_Toc239133100"/>
      <w:bookmarkStart w:id="43" w:name="_Toc178151564"/>
      <w:bookmarkStart w:id="44" w:name="_Toc179712229"/>
      <w:bookmarkStart w:id="45" w:name="_Toc495932544"/>
      <w:bookmarkStart w:id="46" w:name="_Toc26937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8.75pt;width:16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7" w:name="_Toc239133101"/>
      <w:bookmarkStart w:id="48" w:name="_Toc179712230"/>
      <w:bookmarkStart w:id="49" w:name="_Toc179707477"/>
      <w:bookmarkStart w:id="50" w:name="_Toc453593139"/>
      <w:bookmarkStart w:id="51" w:name="_Toc240280511"/>
      <w:bookmarkStart w:id="52" w:name="_Toc178152071"/>
      <w:bookmarkStart w:id="53" w:name="_Toc178151565"/>
      <w:r>
        <w:rPr>
          <w:rFonts w:hint="eastAsia"/>
        </w:rPr>
        <w:t xml:space="preserve"> </w:t>
      </w:r>
      <w:bookmarkStart w:id="54" w:name="_Toc495932545"/>
      <w:bookmarkStart w:id="55" w:name="_Toc7223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  <w:rPr>
          <w:rFonts w:hint="eastAsia"/>
        </w:rPr>
      </w:pPr>
      <w:bookmarkStart w:id="56" w:name="_Toc453593140"/>
      <w:bookmarkStart w:id="57" w:name="_Toc179707478"/>
      <w:bookmarkStart w:id="58" w:name="_Toc240280512"/>
      <w:bookmarkStart w:id="59" w:name="_Toc239133102"/>
      <w:bookmarkStart w:id="60" w:name="_Toc178151566"/>
      <w:bookmarkStart w:id="61" w:name="_Toc178152072"/>
      <w:bookmarkStart w:id="62" w:name="_Toc179712231"/>
      <w:r>
        <w:t xml:space="preserve"> </w:t>
      </w:r>
      <w:bookmarkStart w:id="63" w:name="_Toc495932546"/>
      <w:bookmarkStart w:id="64" w:name="_Toc22366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8.75pt;width:119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pt;width:96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8.75pt;width:10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  <w:rPr>
          <w:rFonts w:hint="eastAsia"/>
        </w:rPr>
      </w:pPr>
      <w:bookmarkStart w:id="65" w:name="_Toc179712232"/>
      <w:bookmarkStart w:id="66" w:name="_Toc239133103"/>
      <w:bookmarkStart w:id="67" w:name="_Toc179707479"/>
      <w:bookmarkStart w:id="68" w:name="_Toc178152073"/>
      <w:bookmarkStart w:id="69" w:name="_Toc178151567"/>
      <w:bookmarkStart w:id="70" w:name="_Toc453593141"/>
      <w:bookmarkStart w:id="71" w:name="_Toc240280513"/>
      <w:r>
        <w:t xml:space="preserve"> </w:t>
      </w:r>
      <w:bookmarkStart w:id="72" w:name="_Toc495932547"/>
      <w:bookmarkStart w:id="73" w:name="_Toc16691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75pt;width:99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5pt;width:25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75pt;width:106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  <w:rPr>
          <w:rFonts w:hint="eastAsia"/>
        </w:rPr>
      </w:pPr>
      <w:bookmarkStart w:id="74" w:name="_Toc178151568"/>
      <w:bookmarkStart w:id="75" w:name="_Toc179712233"/>
      <w:bookmarkStart w:id="76" w:name="_Toc239133104"/>
      <w:bookmarkStart w:id="77" w:name="_Toc240280514"/>
      <w:bookmarkStart w:id="78" w:name="_Toc453593142"/>
      <w:bookmarkStart w:id="79" w:name="_Toc179707480"/>
      <w:bookmarkStart w:id="80" w:name="_Toc178152074"/>
      <w:r>
        <w:t xml:space="preserve"> </w:t>
      </w:r>
      <w:bookmarkStart w:id="81" w:name="_Toc495932548"/>
      <w:bookmarkStart w:id="82" w:name="_Toc10952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  <w:rPr>
          <w:rFonts w:hint="eastAsia"/>
        </w:rPr>
      </w:pPr>
      <w:bookmarkStart w:id="83" w:name="_Toc178151569"/>
      <w:bookmarkStart w:id="84" w:name="_Toc179707481"/>
      <w:bookmarkStart w:id="85" w:name="_Toc453593143"/>
      <w:bookmarkStart w:id="86" w:name="_Toc239133105"/>
      <w:bookmarkStart w:id="87" w:name="_Toc179712234"/>
      <w:bookmarkStart w:id="88" w:name="_Toc178152075"/>
      <w:bookmarkStart w:id="89" w:name="_Toc240280515"/>
      <w:r>
        <w:t xml:space="preserve"> </w:t>
      </w:r>
      <w:bookmarkStart w:id="90" w:name="_Toc495932549"/>
      <w:bookmarkStart w:id="91" w:name="_Toc19965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8.75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pt;width:92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  <w:rPr>
          <w:rFonts w:hint="eastAsia"/>
        </w:rPr>
      </w:pPr>
      <w:bookmarkStart w:id="92" w:name="_Toc453593144"/>
      <w:bookmarkStart w:id="93" w:name="_Toc240280516"/>
      <w:bookmarkStart w:id="94" w:name="_Toc179707482"/>
      <w:bookmarkStart w:id="95" w:name="_Toc179712235"/>
      <w:bookmarkStart w:id="96" w:name="_Toc178152076"/>
      <w:bookmarkStart w:id="97" w:name="_Toc178151570"/>
      <w:bookmarkStart w:id="98" w:name="_Toc239133106"/>
      <w:r>
        <w:t xml:space="preserve"> </w:t>
      </w:r>
      <w:bookmarkStart w:id="99" w:name="_Toc495932550"/>
      <w:bookmarkStart w:id="100" w:name="_Toc1262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8.75pt;width:60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  <w:rPr>
          <w:rFonts w:hint="eastAsia"/>
        </w:rPr>
      </w:pPr>
      <w:bookmarkStart w:id="101" w:name="_Toc240280517"/>
      <w:bookmarkStart w:id="102" w:name="_Toc239133107"/>
      <w:bookmarkStart w:id="103" w:name="_Toc453593145"/>
      <w:r>
        <w:rPr>
          <w:rFonts w:hint="eastAsia"/>
        </w:rPr>
        <w:t xml:space="preserve"> </w:t>
      </w:r>
      <w:bookmarkStart w:id="104" w:name="_Toc495932551"/>
      <w:bookmarkStart w:id="105" w:name="_Toc32029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spacing w:line="240" w:lineRule="auto"/>
        <w:rPr>
          <w:rFonts w:hint="eastAsia"/>
          <w:color w:val="000000"/>
        </w:rPr>
      </w:pPr>
      <w:bookmarkStart w:id="106" w:name="_Toc178151571"/>
      <w:bookmarkStart w:id="107" w:name="_Toc179707483"/>
      <w:bookmarkStart w:id="108" w:name="_Toc179712236"/>
      <w:bookmarkStart w:id="109" w:name="_Toc178152077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>
      <w:pPr>
        <w:pStyle w:val="2"/>
        <w:rPr>
          <w:szCs w:val="24"/>
          <w:lang w:val="en-US"/>
        </w:rPr>
      </w:pPr>
      <w:bookmarkStart w:id="110" w:name="_Toc383"/>
      <w:r>
        <w:rPr>
          <w:szCs w:val="24"/>
          <w:lang w:val="en-US"/>
        </w:rPr>
        <w:t>外围护构造</w:t>
      </w:r>
      <w:bookmarkEnd w:id="110"/>
    </w:p>
    <w:p>
      <w:pPr>
        <w:pStyle w:val="4"/>
        <w:rPr>
          <w:szCs w:val="24"/>
          <w:lang w:val="en-US"/>
        </w:rPr>
      </w:pPr>
      <w:bookmarkStart w:id="111" w:name="_Toc8634"/>
      <w:r>
        <w:rPr>
          <w:szCs w:val="24"/>
          <w:lang w:val="en-US"/>
        </w:rPr>
        <w:t>屋顶</w:t>
      </w:r>
      <w:bookmarkEnd w:id="111"/>
    </w:p>
    <w:p>
      <w:pPr>
        <w:pStyle w:val="5"/>
        <w:rPr>
          <w:szCs w:val="24"/>
          <w:lang w:val="en-US"/>
        </w:rPr>
      </w:pPr>
      <w:bookmarkStart w:id="112" w:name="_Toc7251"/>
      <w:r>
        <w:rPr>
          <w:szCs w:val="24"/>
          <w:lang w:val="en-US"/>
        </w:rPr>
        <w:t>屋顶构造一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0.768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3" w:name="_Toc12380"/>
      <w:r>
        <w:rPr>
          <w:szCs w:val="24"/>
          <w:lang w:val="en-US"/>
        </w:rPr>
        <w:t>外墙</w:t>
      </w:r>
      <w:bookmarkEnd w:id="113"/>
    </w:p>
    <w:p>
      <w:pPr>
        <w:pStyle w:val="5"/>
        <w:rPr>
          <w:szCs w:val="24"/>
          <w:lang w:val="en-US"/>
        </w:rPr>
      </w:pPr>
      <w:bookmarkStart w:id="114" w:name="_Toc26551"/>
      <w:r>
        <w:rPr>
          <w:szCs w:val="24"/>
          <w:lang w:val="en-US"/>
        </w:rPr>
        <w:t>外墙构造一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5" w:name="_Toc10866"/>
      <w:r>
        <w:rPr>
          <w:szCs w:val="24"/>
          <w:lang w:val="en-US"/>
        </w:rPr>
        <w:t>内围护构造</w:t>
      </w:r>
      <w:bookmarkEnd w:id="115"/>
    </w:p>
    <w:p>
      <w:pPr>
        <w:pStyle w:val="4"/>
        <w:rPr>
          <w:szCs w:val="24"/>
          <w:lang w:val="en-US"/>
        </w:rPr>
      </w:pPr>
      <w:bookmarkStart w:id="116" w:name="_Toc7760"/>
      <w:r>
        <w:rPr>
          <w:szCs w:val="24"/>
          <w:lang w:val="en-US"/>
        </w:rPr>
        <w:t>内墙</w:t>
      </w:r>
      <w:bookmarkEnd w:id="116"/>
    </w:p>
    <w:p>
      <w:pPr>
        <w:pStyle w:val="5"/>
        <w:rPr>
          <w:szCs w:val="24"/>
          <w:lang w:val="en-US"/>
        </w:rPr>
      </w:pPr>
      <w:bookmarkStart w:id="117" w:name="_Toc27447"/>
      <w:r>
        <w:rPr>
          <w:szCs w:val="24"/>
          <w:lang w:val="en-US"/>
        </w:rPr>
        <w:t>控温房间隔墙构造一</w:t>
      </w:r>
      <w:bookmarkEnd w:id="11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8" w:name="_Toc13550"/>
      <w:r>
        <w:rPr>
          <w:szCs w:val="24"/>
          <w:lang w:val="en-US"/>
        </w:rPr>
        <w:t>楼板</w:t>
      </w:r>
      <w:bookmarkEnd w:id="118"/>
    </w:p>
    <w:p>
      <w:pPr>
        <w:pStyle w:val="5"/>
        <w:rPr>
          <w:szCs w:val="24"/>
          <w:lang w:val="en-US"/>
        </w:rPr>
      </w:pPr>
      <w:bookmarkStart w:id="119" w:name="_Toc2233"/>
      <w:r>
        <w:rPr>
          <w:szCs w:val="24"/>
          <w:lang w:val="en-US"/>
        </w:rPr>
        <w:t>控温房间楼板构造一</w:t>
      </w:r>
      <w:bookmarkEnd w:id="11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2.984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20" w:name="_Toc29689"/>
      <w:r>
        <w:rPr>
          <w:szCs w:val="24"/>
          <w:lang w:val="en-US"/>
        </w:rPr>
        <w:t>封闭阳台构造</w:t>
      </w:r>
      <w:bookmarkEnd w:id="120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21" w:name="_Toc20997"/>
      <w:r>
        <w:rPr>
          <w:szCs w:val="24"/>
          <w:lang w:val="en-US"/>
        </w:rPr>
        <w:t>地下围护构造</w:t>
      </w:r>
      <w:bookmarkEnd w:id="121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22" w:name="_Toc7532"/>
      <w:r>
        <w:rPr>
          <w:szCs w:val="24"/>
          <w:lang w:val="en-US"/>
        </w:rPr>
        <w:t>窗构造</w:t>
      </w:r>
      <w:bookmarkEnd w:id="12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3" w:name="_Toc31687"/>
      <w:r>
        <w:rPr>
          <w:szCs w:val="24"/>
          <w:lang w:val="en-US"/>
        </w:rPr>
        <w:t>门构造</w:t>
      </w:r>
      <w:bookmarkEnd w:id="12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4" w:name="_Toc2931"/>
      <w:r>
        <w:rPr>
          <w:szCs w:val="24"/>
          <w:lang w:val="en-US"/>
        </w:rPr>
        <w:t>负荷指标</w:t>
      </w:r>
      <w:bookmarkEnd w:id="12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96137</w:t>
            </w:r>
          </w:p>
        </w:tc>
        <w:tc>
          <w:tcPr>
            <w:vAlign w:val="center"/>
          </w:tcPr>
          <w:p>
            <w:r>
              <w:t>793.10</w:t>
            </w:r>
          </w:p>
        </w:tc>
        <w:tc>
          <w:tcPr>
            <w:vAlign w:val="center"/>
          </w:tcPr>
          <w:p>
            <w:r>
              <w:t>121.22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684.93</w:t>
            </w:r>
          </w:p>
        </w:tc>
        <w:tc>
          <w:tcPr>
            <w:vAlign w:val="center"/>
          </w:tcPr>
          <w:p>
            <w:r>
              <w:t>140.36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5" w:name="_Toc22244"/>
      <w:r>
        <w:rPr>
          <w:szCs w:val="24"/>
          <w:lang w:val="en-US"/>
        </w:rPr>
        <w:t>建筑按楼层汇总表</w:t>
      </w:r>
      <w:bookmarkEnd w:id="12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1006[展厅（单层及顶层）]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1007[展厅（单层及顶层）]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1008[展厅（单层及顶层）]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1009[登录厅]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1010[登录厅]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1011[登录厅]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1012[登录厅]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1013[卫生间]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1014[卫生间]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1015[库房]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1016,1017[库房]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1018[库房]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384.35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43961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33939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11668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114.38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2001[展厅（单层及顶层）]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2002[展厅（单层及顶层）]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777.81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2003[展厅（单层及顶层）]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X002[展厅（单层及顶层）]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X003[展厅（单层及顶层）]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X004[展厅（单层及顶层）]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X005[展厅（单层及顶层）]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X006[前台]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52367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44529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7838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174.22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684.93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96137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78276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17861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20794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140.36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6" w:name="_Toc21797"/>
      <w:r>
        <w:rPr>
          <w:szCs w:val="24"/>
          <w:lang w:val="en-US"/>
        </w:rPr>
        <w:t>新风负荷表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196"/>
        <w:gridCol w:w="848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1003[起居室]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1006[展厅（单层及顶层）]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1007[展厅（单层及顶层）]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177.90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1008[展厅（单层及顶层）]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177.89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1009[登录厅]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207.97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1010[登录厅]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1011[登录厅]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214.39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1012[登录厅]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219.77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1013,1014[卫生间]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1015,1016,1017,1018[库房]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2882.64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11668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6008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5660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2001[展厅（单层及顶层）]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2002[展厅（单层及顶层）]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2003[展厅（单层及顶层）]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X002[展厅（单层及顶层）]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469.91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X003[展厅（单层及顶层）]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X004[展厅（单层及顶层）]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557.04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X005[展厅（单层及顶层）]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555.34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X006[前台]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2254.33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9125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5136.98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20794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10707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10087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30.36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27" w:name="_Toc2255"/>
      <w:r>
        <w:rPr>
          <w:szCs w:val="24"/>
          <w:lang w:val="en-US"/>
        </w:rPr>
        <w:t>房间冷负荷详细表</w:t>
      </w:r>
      <w:bookmarkEnd w:id="127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28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</w:tr>
      <w:bookmarkEnd w:id="128"/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1006[展厅（单层及顶层）]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F=1.88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1007[展厅（单层及顶层）]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1008[展厅（单层及顶层）]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F=1.88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1009[登录厅]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1010[登录厅]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1011[登录厅]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1012[登录厅]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1015[库房]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1016[库房]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1018[库房]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2001[展厅（单层及顶层）]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F=75.64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2002[展厅（单层及顶层）]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F=29.64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2003[展厅（单层及顶层）]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F=41.03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X002[展厅（单层及顶层）]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X003[展厅（单层及顶层）]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X004[展厅（单层及顶层）]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X005[展厅（单层及顶层）]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F=74.05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F=79.92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X006[前台]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</w:tr>
      <w:bookmarkEnd w:id="25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ZGQ1MTQ1NzNmYzI2MWNhYjkxNTgyMzRmM2E1YWMifQ=="/>
  </w:docVars>
  <w:rsids>
    <w:rsidRoot w:val="4AB564A5"/>
    <w:rsid w:val="001915A3"/>
    <w:rsid w:val="00217F62"/>
    <w:rsid w:val="00A906D8"/>
    <w:rsid w:val="00AB5A74"/>
    <w:rsid w:val="00F071AE"/>
    <w:rsid w:val="4AB5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autoRedefine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44</Pages>
  <Words>22550</Words>
  <Characters>64930</Characters>
  <Lines>8</Lines>
  <Paragraphs>2</Paragraphs>
  <TotalTime>0</TotalTime>
  <ScaleCrop>false</ScaleCrop>
  <LinksUpToDate>false</LinksUpToDate>
  <CharactersWithSpaces>65430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2024-01-09T16:28:00Z</dcterms:created>
  <dc:creator>litwodog</dc:creator>
  <cp:lastModifiedBy>litwodog</cp:lastModifiedBy>
  <dcterms:modified xsi:type="dcterms:W3CDTF">2024-01-09T16:29:10Z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E8EAA8169ED64C70A522D68D4474BAAF_11</vt:lpwstr>
  </property>
  <property fmtid="{D5CDD505-2E9C-101B-9397-08002B2CF9AE}" pid="3" name="KSOProductBuildVer">
    <vt:lpwstr>2052-12.1.0.16120</vt:lpwstr>
  </property>
</Properties>
</file>