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4.1.4</w:t>
      </w:r>
      <w:r>
        <w:rPr>
          <w:rFonts w:hint="eastAsia" w:eastAsiaTheme="minorEastAsia"/>
          <w:sz w:val="24"/>
          <w:szCs w:val="40"/>
        </w:rPr>
        <w:t xml:space="preserve"> </w:t>
      </w:r>
      <w:r>
        <w:rPr>
          <w:rFonts w:eastAsiaTheme="minorEastAsia"/>
          <w:sz w:val="24"/>
          <w:szCs w:val="40"/>
        </w:rPr>
        <w:t>建筑内部的非结构件、设备及附属设施等应连接牢固并能适应主体结构变形。</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346985915"/>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ascii="Times New Roman" w:hAnsi="Times New Roman" w:cs="Times New Roman"/>
          <w:szCs w:val="21"/>
        </w:rPr>
        <w:t>达标；</w:t>
      </w:r>
      <w:sdt>
        <w:sdtPr>
          <w:rPr>
            <w:rFonts w:hint="eastAsia"/>
            <w:sz w:val="28"/>
          </w:rPr>
          <w:id w:val="-1735005796"/>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rFonts w:ascii="Times New Roman" w:hAnsi="Times New Roman" w:eastAsia="宋体" w:cs="Times New Roman"/>
          <w:szCs w:val="21"/>
        </w:rPr>
      </w:pPr>
      <w:r>
        <w:rPr>
          <w:rFonts w:ascii="Times New Roman" w:hAnsi="Times New Roman" w:eastAsia="宋体" w:cs="Times New Roman"/>
          <w:szCs w:val="21"/>
        </w:rPr>
        <w:t>请对建筑内部的非结构件、设备及附属设施等的连接</w:t>
      </w:r>
      <w:r>
        <w:rPr>
          <w:rFonts w:hint="eastAsia" w:ascii="Times New Roman" w:hAnsi="Times New Roman" w:eastAsia="宋体" w:cs="Times New Roman"/>
          <w:szCs w:val="21"/>
        </w:rPr>
        <w:t>情况进行</w:t>
      </w:r>
      <w:r>
        <w:rPr>
          <w:rFonts w:ascii="Times New Roman" w:hAnsi="Times New Roman" w:eastAsia="宋体" w:cs="Times New Roman"/>
          <w:szCs w:val="21"/>
        </w:rPr>
        <w:t>简要说明</w:t>
      </w:r>
      <w:r>
        <w:rPr>
          <w:rFonts w:hint="eastAsia" w:ascii="Times New Roman" w:hAnsi="Times New Roman" w:eastAsia="宋体" w:cs="Times New Roman"/>
          <w:szCs w:val="21"/>
        </w:rPr>
        <w:t>。</w:t>
      </w:r>
      <w:bookmarkStart w:id="0" w:name="_GoBack"/>
      <w:bookmarkEnd w:id="0"/>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bidi w:val="0"/>
              <w:rPr>
                <w:rFonts w:hint="eastAsia"/>
              </w:rPr>
            </w:pPr>
            <w:r>
              <w:rPr>
                <w:rFonts w:hint="default"/>
              </w:rPr>
              <w:t>建筑内部的非结构构件包括非承重墙体、附着于楼面和屋面结构的构件、装饰构件和部件、固定于楼面的大型储物架，移动式档案密集柜等。设备指建筑中为建筑使用功能服务的附属机械、电气构件、部件和系统，主要包括电梯、照明和应急电源、通信设备、管道系统、采暖和空气调节系统、烟火监测和消防系统、公用天线等。附属设施包括整体卫生间、固定在墙体上的橱柜、储物柜等等。</w:t>
            </w:r>
          </w:p>
          <w:p>
            <w:pPr>
              <w:bidi w:val="0"/>
              <w:rPr>
                <w:rFonts w:hint="default"/>
              </w:rPr>
            </w:pPr>
            <w:r>
              <w:rPr>
                <w:rFonts w:hint="default"/>
              </w:rPr>
              <w:t>建筑内部非结构构件、设备及附属设施等应满足建筑使用安全，与主体结构之间的连接满足承载力验算及国家相关规范规定的构造要求。例如，内填充墙高厚比应满足稳定性计算要求；楼屋面下机电设备的吊杆满足吊挂设备的承载力要求;墙上固定吊柜与墙体连接可靠，连接锚栓满足吊柜预期极限承载能力的要求。</w:t>
            </w:r>
          </w:p>
          <w:p>
            <w:pPr>
              <w:bidi w:val="0"/>
              <w:rPr>
                <w:rFonts w:hint="default"/>
              </w:rPr>
            </w:pPr>
            <w:r>
              <w:rPr>
                <w:rFonts w:hint="default"/>
              </w:rPr>
              <w:t>适应主体结构的变形，主要指以下几个方面：</w:t>
            </w:r>
          </w:p>
          <w:p>
            <w:pPr>
              <w:bidi w:val="0"/>
              <w:rPr>
                <w:rFonts w:hint="default"/>
              </w:rPr>
            </w:pPr>
            <w:r>
              <w:rPr>
                <w:rFonts w:hint="default"/>
              </w:rPr>
              <w:t>1） 非结构构件适应主体结构的变形。2） 设备及辅助设施，适应主体结构变形</w:t>
            </w:r>
          </w:p>
          <w:p>
            <w:pPr>
              <w:bidi w:val="0"/>
              <w:rPr>
                <w:rFonts w:ascii="Times New Roman" w:hAnsi="Times New Roman" w:eastAsia="宋体" w:cs="Times New Roman"/>
                <w:kern w:val="0"/>
                <w:szCs w:val="21"/>
              </w:rPr>
            </w:pPr>
            <w:r>
              <w:rPr>
                <w:rFonts w:hint="default"/>
              </w:rPr>
              <w:t>近年因装饰装修脱落导致人员伤亡事故屡见不鲜，如吊链或连接件锈蚀导致吊灯掉落、吊顶脱落等。故要求在运营过程中进行定期检查、维修与管理。</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建筑、结构</w:t>
      </w:r>
      <w:r>
        <w:rPr>
          <w:rFonts w:hint="eastAsia" w:ascii="Times New Roman" w:hAnsi="Times New Roman" w:eastAsia="宋体" w:cs="Times New Roman"/>
          <w:szCs w:val="21"/>
        </w:rPr>
        <w:t>竣工</w:t>
      </w:r>
      <w:r>
        <w:rPr>
          <w:rFonts w:ascii="Times New Roman" w:hAnsi="Times New Roman" w:eastAsia="宋体" w:cs="Times New Roman"/>
          <w:szCs w:val="21"/>
        </w:rPr>
        <w:t>图</w:t>
      </w:r>
      <w:r>
        <w:rPr>
          <w:rFonts w:hint="eastAsia" w:ascii="Times New Roman" w:hAnsi="Times New Roman" w:eastAsia="宋体" w:cs="Times New Roman"/>
          <w:szCs w:val="21"/>
        </w:rPr>
        <w:t>和设计说明；</w:t>
      </w:r>
    </w:p>
    <w:p>
      <w:pPr>
        <w:rPr>
          <w:rFonts w:ascii="Times New Roman" w:hAnsi="Times New Roman" w:eastAsia="宋体" w:cs="Times New Roman"/>
          <w:szCs w:val="21"/>
        </w:rPr>
      </w:pPr>
      <w:r>
        <w:rPr>
          <w:rFonts w:hint="eastAsia" w:ascii="Times New Roman" w:hAnsi="Times New Roman" w:eastAsia="宋体" w:cs="Times New Roman"/>
          <w:szCs w:val="21"/>
        </w:rPr>
        <w:t>2）关键构件计算书；</w:t>
      </w:r>
    </w:p>
    <w:p>
      <w:pPr>
        <w:rPr>
          <w:rFonts w:ascii="Times New Roman" w:hAnsi="Times New Roman" w:eastAsia="宋体" w:cs="Times New Roman"/>
          <w:szCs w:val="21"/>
        </w:rPr>
      </w:pPr>
      <w:r>
        <w:rPr>
          <w:rFonts w:hint="eastAsia" w:ascii="Times New Roman" w:hAnsi="Times New Roman" w:eastAsia="宋体" w:cs="Times New Roman"/>
          <w:szCs w:val="21"/>
        </w:rPr>
        <w:t>3）相关检测报告；</w:t>
      </w:r>
    </w:p>
    <w:p>
      <w:pPr>
        <w:rPr>
          <w:rFonts w:ascii="Times New Roman" w:hAnsi="Times New Roman" w:eastAsia="宋体" w:cs="Times New Roman"/>
          <w:szCs w:val="21"/>
        </w:rPr>
      </w:pPr>
      <w:r>
        <w:rPr>
          <w:rFonts w:hint="eastAsia" w:ascii="Times New Roman" w:hAnsi="Times New Roman" w:eastAsia="宋体" w:cs="Times New Roman"/>
          <w:szCs w:val="21"/>
        </w:rPr>
        <w:t>4）建筑的维修与管理记录。</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ind w:firstLine="400" w:firstLineChars="200"/>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5OWE0MzliZTlkMGRjZjMzNjIzZjIyZDk4NTI2OGIifQ=="/>
  </w:docVars>
  <w:rsids>
    <w:rsidRoot w:val="00CA5A36"/>
    <w:rsid w:val="00026340"/>
    <w:rsid w:val="00074A38"/>
    <w:rsid w:val="00141669"/>
    <w:rsid w:val="005157A0"/>
    <w:rsid w:val="008D61F7"/>
    <w:rsid w:val="00A066ED"/>
    <w:rsid w:val="00CA5A36"/>
    <w:rsid w:val="00F80237"/>
    <w:rsid w:val="059F76E6"/>
    <w:rsid w:val="14101C60"/>
    <w:rsid w:val="17E517D7"/>
    <w:rsid w:val="2A410006"/>
    <w:rsid w:val="3CD25455"/>
    <w:rsid w:val="49973CAE"/>
    <w:rsid w:val="57CC7C75"/>
    <w:rsid w:val="62B9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autoRedefine/>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4"/>
    <w:autoRedefine/>
    <w:unhideWhenUsed/>
    <w:qFormat/>
    <w:uiPriority w:val="0"/>
    <w:pPr>
      <w:spacing w:line="240" w:lineRule="auto"/>
      <w:jc w:val="left"/>
      <w:outlineLvl w:val="3"/>
    </w:pPr>
    <w:rPr>
      <w:rFonts w:ascii="Times New Roman" w:hAnsi="Times New Roman" w:eastAsia="宋体" w:cs="Times New Roman"/>
      <w:sz w:val="21"/>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标题 3 Char"/>
    <w:basedOn w:val="9"/>
    <w:link w:val="2"/>
    <w:autoRedefine/>
    <w:semiHidden/>
    <w:qFormat/>
    <w:uiPriority w:val="9"/>
    <w:rPr>
      <w:b/>
      <w:bCs/>
      <w:sz w:val="32"/>
      <w:szCs w:val="32"/>
    </w:r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99"/>
    <w:rPr>
      <w:sz w:val="18"/>
      <w:szCs w:val="18"/>
    </w:rPr>
  </w:style>
  <w:style w:type="character" w:customStyle="1" w:styleId="14">
    <w:name w:val="标题 4 Char"/>
    <w:basedOn w:val="9"/>
    <w:link w:val="3"/>
    <w:autoRedefine/>
    <w:qFormat/>
    <w:uiPriority w:val="0"/>
    <w:rPr>
      <w:rFonts w:ascii="Times New Roman" w:hAnsi="Times New Roman" w:eastAsia="宋体" w:cs="Times New Roman"/>
      <w:b/>
      <w:bCs/>
      <w:szCs w:val="32"/>
    </w:rPr>
  </w:style>
  <w:style w:type="character" w:styleId="15">
    <w:name w:val="Placeholder Text"/>
    <w:basedOn w:val="9"/>
    <w:autoRedefine/>
    <w:semiHidden/>
    <w:qFormat/>
    <w:uiPriority w:val="99"/>
    <w:rPr>
      <w:color w:val="808080"/>
    </w:rPr>
  </w:style>
  <w:style w:type="table" w:customStyle="1" w:styleId="16">
    <w:name w:val="网格型1"/>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样式1"/>
    <w:basedOn w:val="9"/>
    <w:autoRedefine/>
    <w:qFormat/>
    <w:uiPriority w:val="1"/>
    <w:rPr>
      <w:rFonts w:eastAsiaTheme="minorEastAsia"/>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Words>
  <Characters>156</Characters>
  <Lines>1</Lines>
  <Paragraphs>1</Paragraphs>
  <TotalTime>4</TotalTime>
  <ScaleCrop>false</ScaleCrop>
  <LinksUpToDate>false</LinksUpToDate>
  <CharactersWithSpaces>182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2019-07-12T07:39:00Z</dcterms:created>
  <dc:creator>dongYP</dc:creator>
  <cp:lastModifiedBy>繁华似锦</cp:lastModifiedBy>
  <dcterms:modified xsi:type="dcterms:W3CDTF">2024-02-17T08:22:33Z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5285486D811F4C51BE2F3550A5DE0043_13</vt:lpwstr>
  </property>
</Properties>
</file>