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湖州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2023年12月29日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r>
              <w:rPr>
                <w:rFonts w:hint="eastAsia"/>
              </w:rPr>
              <w:t>T15087121763</w:t>
            </w:r>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_Toc29089 </w:instrText>
      </w:r>
      <w:r>
        <w:rPr>
          <w:rFonts w:ascii="宋体" w:hAnsi="宋体"/>
          <w:bCs w:val="0"/>
          <w:caps/>
        </w:rPr>
        <w:fldChar w:fldCharType="separate"/>
      </w:r>
      <w:r>
        <w:rPr>
          <w:rFonts w:hint="eastAsia"/>
        </w:rPr>
        <w:t>1 项目概况</w:t>
      </w:r>
      <w:r>
        <w:tab/>
      </w:r>
      <w:r>
        <w:fldChar w:fldCharType="begin"/>
      </w:r>
      <w:r>
        <w:instrText xml:space="preserve"> PAGEREF _Toc29089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_Toc5463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_Toc5463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_Toc13399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_Toc13399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_Toc21284 </w:instrText>
      </w:r>
      <w:r>
        <w:fldChar w:fldCharType="separate"/>
      </w:r>
      <w:r>
        <w:rPr>
          <w:rFonts w:hint="eastAsia"/>
        </w:rPr>
        <w:t>2 计算</w:t>
      </w:r>
      <w:r>
        <w:t>依据</w:t>
      </w:r>
      <w:r>
        <w:tab/>
      </w:r>
      <w:r>
        <w:fldChar w:fldCharType="begin"/>
      </w:r>
      <w:r>
        <w:instrText xml:space="preserve"> PAGEREF _Toc21284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_Toc29891 </w:instrText>
      </w:r>
      <w:r>
        <w:fldChar w:fldCharType="separate"/>
      </w:r>
      <w:r>
        <w:rPr>
          <w:rFonts w:hint="eastAsia"/>
        </w:rPr>
        <w:t>3 参考</w:t>
      </w:r>
      <w:r>
        <w:t>标准</w:t>
      </w:r>
      <w:r>
        <w:tab/>
      </w:r>
      <w:r>
        <w:fldChar w:fldCharType="begin"/>
      </w:r>
      <w:r>
        <w:instrText xml:space="preserve"> PAGEREF _Toc29891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_Toc386 </w:instrText>
      </w:r>
      <w:r>
        <w:fldChar w:fldCharType="separate"/>
      </w:r>
      <w:r>
        <w:rPr>
          <w:rFonts w:hint="eastAsia"/>
        </w:rPr>
        <w:t>4 计算原理</w:t>
      </w:r>
      <w:r>
        <w:tab/>
      </w:r>
      <w:r>
        <w:fldChar w:fldCharType="begin"/>
      </w:r>
      <w:r>
        <w:instrText xml:space="preserve"> PAGEREF _Toc386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_Toc868 </w:instrText>
      </w:r>
      <w:r>
        <w:fldChar w:fldCharType="separate"/>
      </w:r>
      <w:r>
        <w:rPr>
          <w:rFonts w:hint="eastAsia"/>
          <w:lang w:val="en-GB"/>
        </w:rPr>
        <w:t xml:space="preserve">4.1 </w:t>
      </w:r>
      <w:r>
        <w:rPr>
          <w:rFonts w:hint="eastAsia"/>
        </w:rPr>
        <w:t>风场计算域</w:t>
      </w:r>
      <w:r>
        <w:tab/>
      </w:r>
      <w:r>
        <w:fldChar w:fldCharType="begin"/>
      </w:r>
      <w:r>
        <w:instrText xml:space="preserve"> PAGEREF _Toc868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_Toc20109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_Toc20109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_Toc24343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_Toc24343 \h </w:instrText>
      </w:r>
      <w:r>
        <w:fldChar w:fldCharType="separate"/>
      </w:r>
      <w:r>
        <w:t>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_Toc27162 </w:instrText>
      </w:r>
      <w:r>
        <w:fldChar w:fldCharType="separate"/>
      </w:r>
      <w:r>
        <w:rPr>
          <w:rFonts w:hint="eastAsia" w:eastAsia="宋体"/>
          <w:szCs w:val="24"/>
          <w:lang w:val="en-GB"/>
        </w:rPr>
        <w:t xml:space="preserve">4.1.3 </w:t>
      </w:r>
      <w:r>
        <w:rPr>
          <w:rFonts w:hint="eastAsia"/>
        </w:rPr>
        <w:t>过渡季工况风场计算域</w:t>
      </w:r>
      <w:r>
        <w:tab/>
      </w:r>
      <w:r>
        <w:fldChar w:fldCharType="begin"/>
      </w:r>
      <w:r>
        <w:instrText xml:space="preserve"> PAGEREF _Toc27162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_Toc6940 </w:instrText>
      </w:r>
      <w:r>
        <w:fldChar w:fldCharType="separate"/>
      </w:r>
      <w:r>
        <w:rPr>
          <w:rFonts w:hint="eastAsia"/>
          <w:lang w:val="en-GB"/>
        </w:rPr>
        <w:t xml:space="preserve">4.2 </w:t>
      </w:r>
      <w:r>
        <w:rPr>
          <w:rFonts w:hint="eastAsia"/>
        </w:rPr>
        <w:t>网格划分</w:t>
      </w:r>
      <w:r>
        <w:tab/>
      </w:r>
      <w:r>
        <w:fldChar w:fldCharType="begin"/>
      </w:r>
      <w:r>
        <w:instrText xml:space="preserve"> PAGEREF _Toc6940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_Toc14883 </w:instrText>
      </w:r>
      <w:r>
        <w:fldChar w:fldCharType="separate"/>
      </w:r>
      <w:r>
        <w:rPr>
          <w:rFonts w:hint="eastAsia"/>
          <w:lang w:val="en-GB"/>
        </w:rPr>
        <w:t xml:space="preserve">4.3 </w:t>
      </w:r>
      <w:r>
        <w:rPr>
          <w:rFonts w:hint="eastAsia"/>
        </w:rPr>
        <w:t>边界条件</w:t>
      </w:r>
      <w:r>
        <w:tab/>
      </w:r>
      <w:r>
        <w:fldChar w:fldCharType="begin"/>
      </w:r>
      <w:r>
        <w:instrText xml:space="preserve"> PAGEREF _Toc14883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_Toc3677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_Toc3677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_Toc26482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_Toc26482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_Toc24023 </w:instrText>
      </w:r>
      <w:r>
        <w:fldChar w:fldCharType="separate"/>
      </w:r>
      <w:r>
        <w:rPr>
          <w:rFonts w:hint="eastAsia"/>
          <w:lang w:val="en-GB"/>
        </w:rPr>
        <w:t xml:space="preserve">4.4 </w:t>
      </w:r>
      <w:r>
        <w:rPr>
          <w:rFonts w:hint="eastAsia"/>
        </w:rPr>
        <w:t>湍流模型</w:t>
      </w:r>
      <w:r>
        <w:tab/>
      </w:r>
      <w:r>
        <w:fldChar w:fldCharType="begin"/>
      </w:r>
      <w:r>
        <w:instrText xml:space="preserve"> PAGEREF _Toc24023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_Toc11501 </w:instrText>
      </w:r>
      <w:r>
        <w:fldChar w:fldCharType="separate"/>
      </w:r>
      <w:r>
        <w:rPr>
          <w:rFonts w:hint="eastAsia"/>
          <w:lang w:val="en-GB"/>
        </w:rPr>
        <w:t xml:space="preserve">4.5 </w:t>
      </w:r>
      <w:r>
        <w:rPr>
          <w:rFonts w:hint="eastAsia"/>
        </w:rPr>
        <w:t>求解计算</w:t>
      </w:r>
      <w:r>
        <w:tab/>
      </w:r>
      <w:r>
        <w:fldChar w:fldCharType="begin"/>
      </w:r>
      <w:r>
        <w:instrText xml:space="preserve"> PAGEREF _Toc11501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_Toc17231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_Toc17231 \h </w:instrText>
      </w:r>
      <w:r>
        <w:fldChar w:fldCharType="separate"/>
      </w:r>
      <w:r>
        <w:t>15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_Toc15042 </w:instrText>
      </w:r>
      <w:r>
        <w:fldChar w:fldCharType="separate"/>
      </w:r>
      <w:r>
        <w:rPr>
          <w:rFonts w:hint="eastAsia"/>
        </w:rPr>
        <w:t>5 结果</w:t>
      </w:r>
      <w:r>
        <w:t>分析</w:t>
      </w:r>
      <w:r>
        <w:tab/>
      </w:r>
      <w:r>
        <w:fldChar w:fldCharType="begin"/>
      </w:r>
      <w:r>
        <w:instrText xml:space="preserve"> PAGEREF _Toc15042 \h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_Toc31858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_Toc31858 \h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_Toc21544 </w:instrText>
      </w:r>
      <w:r>
        <w:fldChar w:fldCharType="separate"/>
      </w:r>
      <w:r>
        <w:rPr>
          <w:rFonts w:hint="eastAsia"/>
          <w:lang w:val="en-GB"/>
        </w:rPr>
        <w:t xml:space="preserve">5.2 </w:t>
      </w:r>
      <w:r>
        <w:rPr>
          <w:rFonts w:hint="eastAsia"/>
        </w:rPr>
        <w:t>冬季工况</w:t>
      </w:r>
      <w:r>
        <w:tab/>
      </w:r>
      <w:r>
        <w:fldChar w:fldCharType="begin"/>
      </w:r>
      <w:r>
        <w:instrText xml:space="preserve"> PAGEREF _Toc21544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_Toc7781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_Toc7781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_Toc5253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_Toc5253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_Toc6351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_Toc6351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_Toc26723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_Toc26723 \h </w:instrText>
      </w:r>
      <w:r>
        <w:fldChar w:fldCharType="separate"/>
      </w:r>
      <w:r>
        <w:t>18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_Toc29437 </w:instrText>
      </w:r>
      <w:r>
        <w:fldChar w:fldCharType="separate"/>
      </w:r>
      <w:r>
        <w:rPr>
          <w:rFonts w:hint="eastAsia"/>
          <w:lang w:val="en-GB"/>
        </w:rPr>
        <w:t xml:space="preserve">5.3 </w:t>
      </w:r>
      <w:r>
        <w:rPr>
          <w:rFonts w:hint="eastAsia"/>
        </w:rPr>
        <w:t>夏季工况</w:t>
      </w:r>
      <w:r>
        <w:tab/>
      </w:r>
      <w:r>
        <w:fldChar w:fldCharType="begin"/>
      </w:r>
      <w:r>
        <w:instrText xml:space="preserve"> PAGEREF _Toc29437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_Toc31522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_Toc31522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_Toc28424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_Toc28424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_Toc8645 </w:instrText>
      </w:r>
      <w:r>
        <w:fldChar w:fldCharType="separate"/>
      </w:r>
      <w:r>
        <w:rPr>
          <w:rFonts w:hint="eastAsia" w:eastAsia="宋体"/>
          <w:szCs w:val="24"/>
          <w:lang w:val="en-GB"/>
        </w:rPr>
        <w:t xml:space="preserve">5.3.3 </w:t>
      </w:r>
      <w:r>
        <w:rPr>
          <w:rFonts w:hint="eastAsia"/>
        </w:rPr>
        <w:t>旋涡区/无风区达标结果汇总</w:t>
      </w:r>
      <w:r>
        <w:tab/>
      </w:r>
      <w:r>
        <w:fldChar w:fldCharType="begin"/>
      </w:r>
      <w:r>
        <w:instrText xml:space="preserve"> PAGEREF _Toc8645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_Toc1013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_Toc1013 \h </w:instrText>
      </w:r>
      <w:r>
        <w:fldChar w:fldCharType="separate"/>
      </w:r>
      <w:r>
        <w:t>22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_Toc15648 </w:instrText>
      </w:r>
      <w:r>
        <w:fldChar w:fldCharType="separate"/>
      </w:r>
      <w:r>
        <w:rPr>
          <w:rFonts w:hint="eastAsia"/>
          <w:lang w:val="en-GB"/>
        </w:rPr>
        <w:t xml:space="preserve">5.4 </w:t>
      </w:r>
      <w:r>
        <w:rPr>
          <w:rFonts w:hint="eastAsia"/>
        </w:rPr>
        <w:t>过渡季工况</w:t>
      </w:r>
      <w:r>
        <w:tab/>
      </w:r>
      <w:r>
        <w:fldChar w:fldCharType="begin"/>
      </w:r>
      <w:r>
        <w:instrText xml:space="preserve"> PAGEREF _Toc15648 \h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_Toc17820 </w:instrText>
      </w:r>
      <w:r>
        <w:fldChar w:fldCharType="separate"/>
      </w:r>
      <w:r>
        <w:rPr>
          <w:rFonts w:hint="eastAsia" w:eastAsia="宋体"/>
          <w:szCs w:val="24"/>
          <w:lang w:val="en-GB"/>
        </w:rPr>
        <w:t xml:space="preserve">5.4.1 </w:t>
      </w:r>
      <w:r>
        <w:rPr>
          <w:rFonts w:hint="eastAsia"/>
        </w:rPr>
        <w:t>无风区计算分析</w:t>
      </w:r>
      <w:r>
        <w:tab/>
      </w:r>
      <w:r>
        <w:fldChar w:fldCharType="begin"/>
      </w:r>
      <w:r>
        <w:instrText xml:space="preserve"> PAGEREF _Toc17820 \h </w:instrText>
      </w:r>
      <w:r>
        <w:fldChar w:fldCharType="separate"/>
      </w:r>
      <w:r>
        <w:t>24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_Toc22173 </w:instrText>
      </w:r>
      <w:r>
        <w:fldChar w:fldCharType="separate"/>
      </w:r>
      <w:r>
        <w:rPr>
          <w:rFonts w:hint="eastAsia" w:eastAsia="宋体"/>
          <w:szCs w:val="24"/>
          <w:lang w:val="en-GB"/>
        </w:rPr>
        <w:t xml:space="preserve">5.4.2 </w:t>
      </w:r>
      <w:r>
        <w:rPr>
          <w:rFonts w:hint="eastAsia"/>
        </w:rPr>
        <w:t>旋涡区分析</w:t>
      </w:r>
      <w:r>
        <w:tab/>
      </w:r>
      <w:r>
        <w:fldChar w:fldCharType="begin"/>
      </w:r>
      <w:r>
        <w:instrText xml:space="preserve"> PAGEREF _Toc22173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_Toc4334 </w:instrText>
      </w:r>
      <w:r>
        <w:fldChar w:fldCharType="separate"/>
      </w:r>
      <w:r>
        <w:rPr>
          <w:rFonts w:hint="eastAsia" w:eastAsia="宋体"/>
          <w:szCs w:val="24"/>
          <w:lang w:val="en-GB"/>
        </w:rPr>
        <w:t xml:space="preserve">5.4.3 </w:t>
      </w:r>
      <w:r>
        <w:rPr>
          <w:rFonts w:hint="eastAsia"/>
        </w:rPr>
        <w:t>旋涡区/无风区达标结果汇总</w:t>
      </w:r>
      <w:r>
        <w:tab/>
      </w:r>
      <w:r>
        <w:fldChar w:fldCharType="begin"/>
      </w:r>
      <w:r>
        <w:instrText xml:space="preserve"> PAGEREF _Toc4334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_Toc5098 </w:instrText>
      </w:r>
      <w:r>
        <w:fldChar w:fldCharType="separate"/>
      </w:r>
      <w:r>
        <w:rPr>
          <w:rFonts w:hint="eastAsia" w:eastAsia="宋体"/>
          <w:szCs w:val="24"/>
          <w:lang w:val="en-GB"/>
        </w:rPr>
        <w:t xml:space="preserve">5.4.4 </w:t>
      </w:r>
      <w:r>
        <w:rPr>
          <w:rFonts w:hint="eastAsia"/>
        </w:rPr>
        <w:t>外窗内外表面风压差达标分析</w:t>
      </w:r>
      <w:r>
        <w:tab/>
      </w:r>
      <w:r>
        <w:fldChar w:fldCharType="begin"/>
      </w:r>
      <w:r>
        <w:instrText xml:space="preserve"> PAGEREF _Toc5098 \h </w:instrText>
      </w:r>
      <w:r>
        <w:fldChar w:fldCharType="separate"/>
      </w:r>
      <w:r>
        <w:t>25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_Toc18268 </w:instrText>
      </w:r>
      <w:r>
        <w:fldChar w:fldCharType="separate"/>
      </w:r>
      <w:r>
        <w:rPr>
          <w:rFonts w:hint="eastAsia"/>
          <w:lang w:val="en-GB"/>
        </w:rPr>
        <w:t xml:space="preserve">5.5 </w:t>
      </w:r>
      <w:r>
        <w:rPr>
          <w:rFonts w:hint="eastAsia"/>
        </w:rPr>
        <w:t>结论</w:t>
      </w:r>
      <w:r>
        <w:tab/>
      </w:r>
      <w:r>
        <w:fldChar w:fldCharType="begin"/>
      </w:r>
      <w:r>
        <w:instrText xml:space="preserve"> PAGEREF _Toc18268 \h </w:instrText>
      </w:r>
      <w:r>
        <w:fldChar w:fldCharType="separate"/>
      </w:r>
      <w:r>
        <w:t>27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_Toc16715 </w:instrText>
      </w:r>
      <w:r>
        <w:fldChar w:fldCharType="separate"/>
      </w:r>
      <w:r>
        <w:rPr>
          <w:rFonts w:hint="eastAsia" w:eastAsia="宋体"/>
          <w:szCs w:val="24"/>
          <w:lang w:val="en-GB"/>
        </w:rPr>
        <w:t xml:space="preserve">5.5.1 </w:t>
      </w:r>
      <w:r>
        <w:rPr>
          <w:rFonts w:hint="eastAsia"/>
        </w:rPr>
        <w:t>冬季工况达标判断</w:t>
      </w:r>
      <w:r>
        <w:tab/>
      </w:r>
      <w:r>
        <w:fldChar w:fldCharType="begin"/>
      </w:r>
      <w:r>
        <w:instrText xml:space="preserve"> PAGEREF _Toc16715 \h </w:instrText>
      </w:r>
      <w:r>
        <w:fldChar w:fldCharType="separate"/>
      </w:r>
      <w:r>
        <w:t>27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_Toc31326 </w:instrText>
      </w:r>
      <w:r>
        <w:fldChar w:fldCharType="separate"/>
      </w:r>
      <w:r>
        <w:rPr>
          <w:rFonts w:hint="eastAsia" w:eastAsia="宋体"/>
          <w:szCs w:val="24"/>
          <w:lang w:val="en-GB"/>
        </w:rPr>
        <w:t xml:space="preserve">5.5.2 </w:t>
      </w:r>
      <w:r>
        <w:rPr>
          <w:rFonts w:hint="eastAsia"/>
        </w:rPr>
        <w:t>过渡季、夏季工况达标判断</w:t>
      </w:r>
      <w:r>
        <w:tab/>
      </w:r>
      <w:r>
        <w:fldChar w:fldCharType="begin"/>
      </w:r>
      <w:r>
        <w:instrText xml:space="preserve"> PAGEREF _Toc31326 \h </w:instrText>
      </w:r>
      <w:r>
        <w:fldChar w:fldCharType="separate"/>
      </w:r>
      <w:r>
        <w:t>27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2" w:name="_Toc452108759"/>
      <w:bookmarkStart w:id="13" w:name="_Toc29089"/>
      <w:r>
        <w:rPr>
          <w:rFonts w:hint="eastAsia"/>
        </w:rPr>
        <w:t>项目概况</w:t>
      </w:r>
      <w:bookmarkEnd w:id="12"/>
      <w:bookmarkEnd w:id="13"/>
    </w:p>
    <w:p>
      <w:pPr>
        <w:pStyle w:val="3"/>
        <w:ind w:firstLine="420"/>
        <w:rPr>
          <w:lang w:val="en-US"/>
        </w:rPr>
      </w:pPr>
      <w:bookmarkStart w:id="14"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5463"/>
      <w:bookmarkStart w:id="16" w:name="_Toc452108760"/>
      <w:r>
        <w:rPr>
          <w:rFonts w:hint="eastAsia"/>
        </w:rPr>
        <w:t>总</w:t>
      </w:r>
      <w:r>
        <w:t>平面图</w:t>
      </w:r>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7"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tbl>
    <w:p>
      <w:pPr>
        <w:pStyle w:val="3"/>
        <w:ind w:firstLine="0" w:firstLineChars="0"/>
        <w:jc w:val="center"/>
        <w:rPr>
          <w:lang w:val="en-US"/>
        </w:rPr>
      </w:pPr>
      <w:r>
        <w:rPr>
          <w:rFonts w:hint="eastAsia"/>
          <w:lang w:val="en-US"/>
        </w:rPr>
        <w:t xml:space="preserve"> </w:t>
      </w:r>
      <w:bookmarkStart w:id="18" w:name="总平面图"/>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9" w:name="_Toc13399"/>
      <w:bookmarkStart w:id="20" w:name="_Toc452108761"/>
      <w:r>
        <w:rPr>
          <w:rFonts w:hint="eastAsia"/>
        </w:rPr>
        <w:t>三</w:t>
      </w:r>
      <w:r>
        <w:t>维视图</w:t>
      </w:r>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21"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tbl>
    <w:p>
      <w:pPr>
        <w:pStyle w:val="3"/>
        <w:ind w:firstLine="0" w:firstLineChars="0"/>
        <w:jc w:val="center"/>
        <w:rPr>
          <w:lang w:val="en-US"/>
        </w:rPr>
      </w:pPr>
      <w:r>
        <w:rPr>
          <w:rFonts w:hint="eastAsia"/>
          <w:lang w:val="en-US"/>
        </w:rPr>
        <w:t xml:space="preserve"> </w:t>
      </w:r>
      <w:bookmarkStart w:id="22" w:name="三维视图"/>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3" w:name="_Toc21284"/>
      <w:bookmarkStart w:id="24" w:name="TitleFormat"/>
      <w:bookmarkStart w:id="25" w:name="_Toc452108762"/>
      <w:r>
        <w:rPr>
          <w:rFonts w:hint="eastAsia"/>
        </w:rPr>
        <w:t>计算</w:t>
      </w:r>
      <w:r>
        <w:t>依据</w:t>
      </w:r>
      <w:bookmarkEnd w:id="23"/>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6"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7" w:name="_Toc29891"/>
      <w:bookmarkStart w:id="28" w:name="_Toc452108763"/>
      <w:r>
        <w:rPr>
          <w:rFonts w:hint="eastAsia"/>
        </w:rPr>
        <w:t>参考</w:t>
      </w:r>
      <w:r>
        <w:t>标准</w:t>
      </w:r>
      <w:bookmarkEnd w:id="27"/>
    </w:p>
    <w:p>
      <w:pPr>
        <w:pStyle w:val="3"/>
        <w:ind w:firstLine="420"/>
        <w:rPr>
          <w:lang w:val="en-US"/>
        </w:rPr>
      </w:pPr>
      <w:r>
        <w:rPr>
          <w:rFonts w:hint="eastAsia"/>
          <w:lang w:val="en-US"/>
        </w:rPr>
        <w:t>室外风环境评价依据为</w:t>
      </w:r>
      <w:bookmarkStart w:id="29" w:name="参考标准名称2"/>
      <w:r>
        <w:rPr>
          <w:rFonts w:hint="eastAsia"/>
          <w:lang w:val="en-US"/>
        </w:rPr>
        <w:t>《绿色建筑评价标准》GB/T50378-2019中有关室外风环境的条目要求。具体要求如下：</w:t>
      </w:r>
    </w:p>
    <w:p>
      <w:pPr>
        <w:pStyle w:val="3"/>
        <w:ind w:firstLine="420"/>
        <w:rPr>
          <w:lang w:val="en-US"/>
        </w:rPr>
      </w:pPr>
      <w:bookmarkStart w:id="30" w:name="_Toc452108764"/>
      <w:bookmarkStart w:id="31" w:name="_Toc451698935"/>
      <w:bookmarkStart w:id="32"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3" w:name="参考标准冬季风速得分"/>
      <w:r>
        <w:rPr>
          <w:lang w:val="en-US"/>
        </w:rPr>
        <w:t>3</w:t>
      </w:r>
      <w:bookmarkEnd w:id="33"/>
      <w:r>
        <w:rPr>
          <w:rFonts w:hint="eastAsia"/>
          <w:lang w:val="en-US"/>
        </w:rPr>
        <w:t>分；除迎风第一排建筑外，建筑迎风面与背风面表面风压差不超过5Pa，得</w:t>
      </w:r>
      <w:bookmarkStart w:id="34" w:name="参考标准冬季风压得分"/>
      <w:r>
        <w:rPr>
          <w:lang w:val="en-US"/>
        </w:rPr>
        <w:t>2</w:t>
      </w:r>
      <w:bookmarkEnd w:id="34"/>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5" w:name="参考标准夏季风速得分"/>
      <w:r>
        <w:rPr>
          <w:lang w:val="en-US"/>
        </w:rPr>
        <w:t>3</w:t>
      </w:r>
      <w:bookmarkEnd w:id="35"/>
      <w:r>
        <w:rPr>
          <w:rFonts w:hint="eastAsia"/>
          <w:lang w:val="en-US"/>
        </w:rPr>
        <w:t>分；50%以上可开启外窗室内外表面的风压差大于0.5Pa，得</w:t>
      </w:r>
      <w:bookmarkStart w:id="36" w:name="参考标准夏季风压得分"/>
      <w:r>
        <w:rPr>
          <w:lang w:val="en-US"/>
        </w:rPr>
        <w:t>2</w:t>
      </w:r>
      <w:bookmarkEnd w:id="36"/>
      <w:r>
        <w:rPr>
          <w:rFonts w:hint="eastAsia"/>
          <w:lang w:val="en-US"/>
        </w:rPr>
        <w:t>分。</w:t>
      </w:r>
    </w:p>
    <w:p>
      <w:pPr>
        <w:pStyle w:val="2"/>
      </w:pPr>
      <w:bookmarkStart w:id="37" w:name="_Toc386"/>
      <w:r>
        <w:rPr>
          <w:rFonts w:hint="eastAsia"/>
        </w:rPr>
        <w:t>计算原理</w:t>
      </w:r>
      <w:bookmarkEnd w:id="30"/>
      <w:bookmarkEnd w:id="37"/>
    </w:p>
    <w:p>
      <w:pPr>
        <w:pStyle w:val="4"/>
        <w:numPr>
          <w:ilvl w:val="1"/>
          <w:numId w:val="3"/>
        </w:numPr>
      </w:pPr>
      <w:bookmarkStart w:id="38" w:name="_Toc509844740"/>
      <w:bookmarkStart w:id="39" w:name="_Toc868"/>
      <w:bookmarkStart w:id="40" w:name="_Toc451698937"/>
      <w:bookmarkStart w:id="41" w:name="_Toc452108765"/>
      <w:r>
        <w:rPr>
          <w:rFonts w:hint="eastAsia"/>
        </w:rPr>
        <w:t>风场计算域</w:t>
      </w:r>
      <w:bookmarkEnd w:id="38"/>
      <w:bookmarkEnd w:id="3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2" w:name="_Toc20109"/>
      <w:bookmarkStart w:id="43" w:name="季节1"/>
      <w:r>
        <w:rPr>
          <w:rFonts w:hint="eastAsia"/>
        </w:rPr>
        <w:t>冬季工况风场计算域</w:t>
      </w:r>
      <w:bookmarkEnd w:id="4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4" w:name="季节2"/>
      <w:r>
        <w:rPr>
          <w:rFonts w:hint="eastAsia" w:ascii="黑体" w:hAnsi="黑体" w:eastAsia="黑体"/>
          <w:sz w:val="20"/>
          <w:szCs w:val="20"/>
        </w:rPr>
        <w:t>冬季</w:t>
      </w:r>
      <w:bookmarkEnd w:id="44"/>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X尺寸"/>
            <w:r>
              <w:t>146</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6" w:name="冬季风场Y尺寸"/>
            <w:r>
              <w:t>65</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7" w:name="冬季风场Z尺寸"/>
            <w:r>
              <w:t>46</w:t>
            </w:r>
            <w:bookmarkEnd w:id="47"/>
          </w:p>
        </w:tc>
      </w:tr>
    </w:tbl>
    <w:p>
      <w:pPr>
        <w:pStyle w:val="3"/>
        <w:ind w:firstLine="0" w:firstLineChars="0"/>
        <w:jc w:val="center"/>
        <w:rPr>
          <w:lang w:val="en-US"/>
        </w:rPr>
      </w:pPr>
      <w:bookmarkStart w:id="48" w:name="冬季工况风场计算域图示"/>
      <w:bookmarkEnd w:id="48"/>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9" w:name="季节3"/>
      <w:r>
        <w:rPr>
          <w:rFonts w:hint="eastAsia" w:ascii="黑体" w:hAnsi="黑体"/>
        </w:rPr>
        <w:t>冬季</w:t>
      </w:r>
      <w:bookmarkEnd w:id="49"/>
      <w:r>
        <w:rPr>
          <w:rFonts w:hint="eastAsia"/>
        </w:rPr>
        <w:t>工况风场计算域图示</w:t>
      </w:r>
      <w:r>
        <w:rPr>
          <w:rFonts w:hint="eastAsia"/>
          <w:szCs w:val="21"/>
          <w:lang w:val="en-US"/>
        </w:rPr>
        <w:t xml:space="preserve"> </w:t>
      </w:r>
    </w:p>
    <w:p>
      <w:pPr>
        <w:pStyle w:val="5"/>
        <w:numPr>
          <w:ilvl w:val="2"/>
          <w:numId w:val="3"/>
        </w:numPr>
      </w:pPr>
      <w:bookmarkStart w:id="50" w:name="_Toc24343"/>
      <w:r>
        <w:rPr>
          <w:rFonts w:hint="eastAsia"/>
        </w:rPr>
        <w:t>夏季工况风场计算域</w:t>
      </w:r>
      <w:bookmarkEnd w:id="5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55</w:t>
            </w:r>
          </w:p>
        </w:tc>
      </w:tr>
    </w:tbl>
    <w:p>
      <w:pPr>
        <w:pStyle w:val="3"/>
        <w:ind w:firstLine="0" w:firstLineChars="0"/>
        <w:jc w:val="center"/>
        <w:rPr>
          <w:lang w:val="en-US"/>
        </w:rPr>
      </w:pPr>
      <w:r>
        <w:drawing>
          <wp:inline distT="0" distB="0" distL="0" distR="0">
            <wp:extent cx="5667375" cy="34099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5"/>
        <w:numPr>
          <w:ilvl w:val="2"/>
          <w:numId w:val="3"/>
        </w:numPr>
      </w:pPr>
      <w:bookmarkStart w:id="51" w:name="_Toc27162"/>
      <w:r>
        <w:rPr>
          <w:rFonts w:hint="eastAsia"/>
        </w:rPr>
        <w:t>过渡季工况风场计算域</w:t>
      </w:r>
      <w:bookmarkEnd w:id="5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54</w:t>
            </w:r>
          </w:p>
        </w:tc>
      </w:tr>
    </w:tbl>
    <w:p>
      <w:pPr>
        <w:pStyle w:val="3"/>
        <w:ind w:firstLine="0" w:firstLineChars="0"/>
        <w:jc w:val="center"/>
        <w:rPr>
          <w:lang w:val="en-US"/>
        </w:rPr>
      </w:pPr>
      <w:r>
        <w:drawing>
          <wp:inline distT="0" distB="0" distL="0" distR="0">
            <wp:extent cx="5667375" cy="34099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4"/>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52" w:name="计算域"/>
      <w:bookmarkEnd w:id="52"/>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3" w:name="_Toc6940"/>
      <w:bookmarkStart w:id="54" w:name="_Toc509844741"/>
      <w:r>
        <w:rPr>
          <w:rFonts w:hint="eastAsia"/>
        </w:rPr>
        <w:t>网格划分</w:t>
      </w:r>
      <w:bookmarkEnd w:id="5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5" w:name="OLE_LINK277"/>
      <w:bookmarkStart w:id="56" w:name="OLE_LINK276"/>
      <w:r>
        <w:rPr>
          <w:rFonts w:hint="eastAsia"/>
        </w:rPr>
        <w:t>1）普通网格：指除靠近地面和建筑以外的网格，通常不需要特别加密处理</w:t>
      </w:r>
    </w:p>
    <w:p>
      <w:pPr>
        <w:pStyle w:val="12"/>
        <w:numPr>
          <w:ilvl w:val="0"/>
          <w:numId w:val="4"/>
        </w:numPr>
        <w:spacing w:before="156"/>
      </w:pPr>
      <w:bookmarkStart w:id="57" w:name="OLE_LINK15"/>
      <w:r>
        <w:rPr>
          <w:rFonts w:hint="eastAsia"/>
        </w:rPr>
        <w:t>分弧精度：对于有圆弧特征的建筑局部，把圆弧分解为线段时，弦到弧的最大距离；</w:t>
      </w:r>
    </w:p>
    <w:bookmarkEnd w:id="57"/>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8"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5"/>
      <w:bookmarkEnd w:id="56"/>
    </w:p>
    <w:bookmarkEnd w:id="58"/>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9" w:name="冬季网格总数"/>
            <w:r>
              <w:t>18249</w:t>
            </w:r>
            <w:bookmarkEnd w:id="59"/>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分弧精度"/>
            <w:r>
              <w:t>0.24</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初始网格"/>
            <w:r>
              <w:t>8.0</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最小细分级数"/>
            <w:r>
              <w:t>1</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最大细分级数"/>
            <w:r>
              <w:t>2</w:t>
            </w:r>
            <w:bookmarkEnd w:id="6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4" w:name="冬季远场细分级数"/>
            <w:r>
              <w:t>1</w:t>
            </w:r>
            <w:bookmarkEnd w:id="6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5" w:name="冬季近场细分级数"/>
            <w:r>
              <w:t>2</w:t>
            </w:r>
            <w:bookmarkEnd w:id="6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6" w:name="冬季地面附面层数"/>
            <w:r>
              <w:t>2</w:t>
            </w:r>
            <w:bookmarkEnd w:id="6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7" w:name="冬季建筑附面层数"/>
            <w:r>
              <w:t>0</w:t>
            </w:r>
            <w:bookmarkEnd w:id="67"/>
          </w:p>
        </w:tc>
      </w:tr>
    </w:tbl>
    <w:p>
      <w:pPr>
        <w:rPr>
          <w:szCs w:val="21"/>
          <w:lang w:val="en-US"/>
        </w:rPr>
      </w:pPr>
    </w:p>
    <w:p>
      <w:pPr>
        <w:jc w:val="center"/>
      </w:pPr>
      <w:bookmarkStart w:id="68" w:name="网格图"/>
      <w:bookmarkEnd w:id="68"/>
      <w:r>
        <w:drawing>
          <wp:inline distT="0" distB="0" distL="0" distR="0">
            <wp:extent cx="5667375" cy="36861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5"/>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9" w:name="季节"/>
      <w:r>
        <w:rPr>
          <w:rFonts w:hint="eastAsia" w:ascii="黑体" w:hAnsi="黑体" w:eastAsia="黑体"/>
          <w:sz w:val="20"/>
          <w:szCs w:val="20"/>
        </w:rPr>
        <w:t>冬季</w:t>
      </w:r>
      <w:bookmarkEnd w:id="69"/>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28438</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6861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6"/>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26037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6861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7"/>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网格图-过渡季</w:t>
      </w:r>
    </w:p>
    <w:p>
      <w:pPr>
        <w:pStyle w:val="3"/>
        <w:ind w:firstLine="630" w:firstLineChars="300"/>
        <w:rPr>
          <w:rFonts w:ascii="黑体" w:hAnsi="黑体" w:eastAsia="黑体"/>
          <w:szCs w:val="20"/>
          <w:lang w:val="en-US"/>
        </w:rPr>
      </w:pPr>
      <w:bookmarkStart w:id="70" w:name="网格划分信息"/>
      <w:bookmarkEnd w:id="70"/>
      <w:r>
        <w:rPr>
          <w:rFonts w:hint="eastAsia" w:ascii="黑体" w:hAnsi="黑体" w:eastAsia="黑体"/>
          <w:szCs w:val="20"/>
          <w:lang w:val="en-US"/>
        </w:rPr>
        <w:t>注：前述计算域随风向不同，所以相同的网格方案会产生不同的网格数量。</w:t>
      </w:r>
    </w:p>
    <w:bookmarkEnd w:id="54"/>
    <w:p>
      <w:pPr>
        <w:pStyle w:val="3"/>
        <w:ind w:firstLine="0" w:firstLineChars="0"/>
        <w:rPr>
          <w:rFonts w:ascii="黑体" w:hAnsi="黑体" w:eastAsia="黑体"/>
          <w:szCs w:val="20"/>
          <w:lang w:val="en-US"/>
        </w:rPr>
      </w:pPr>
    </w:p>
    <w:p>
      <w:pPr>
        <w:pStyle w:val="4"/>
        <w:numPr>
          <w:ilvl w:val="1"/>
          <w:numId w:val="3"/>
        </w:numPr>
      </w:pPr>
      <w:bookmarkStart w:id="71" w:name="_Toc509844742"/>
      <w:bookmarkStart w:id="72" w:name="_Toc14883"/>
      <w:r>
        <w:rPr>
          <w:rFonts w:hint="eastAsia"/>
        </w:rPr>
        <w:t>边界条件</w:t>
      </w:r>
      <w:bookmarkEnd w:id="71"/>
      <w:bookmarkEnd w:id="7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73" w:name="_Toc509844743"/>
      <w:bookmarkStart w:id="74" w:name="_Toc3677"/>
      <w:r>
        <w:rPr>
          <w:rFonts w:hint="eastAsia"/>
        </w:rPr>
        <w:t>入口与出口边界条件</w:t>
      </w:r>
      <w:bookmarkEnd w:id="73"/>
      <w:bookmarkEnd w:id="7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3pt;width:71.35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8pt;width:15.0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lang w:val="en-US"/>
        </w:rPr>
        <w:t>、</w:t>
      </w:r>
      <w:r>
        <w:rPr>
          <w:lang w:val="en-US"/>
        </w:rPr>
        <w:t xml:space="preserve"> </w:t>
      </w:r>
      <w:r>
        <w:rPr>
          <w:position w:val="-10"/>
          <w:lang w:val="en-US"/>
        </w:rPr>
        <w:object>
          <v:shape id="_x0000_i1027" o:spt="75" type="#_x0000_t75" style="height:18.8pt;width:14.4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5" w:name="地面粗糙度指数2"/>
      <w:r>
        <w:rPr>
          <w:rFonts w:hint="eastAsia"/>
          <w:lang w:val="en-US"/>
        </w:rPr>
        <w:t>0.28</w:t>
      </w:r>
      <w:bookmarkEnd w:id="7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6" w:name="_Toc509844744"/>
      <w:bookmarkStart w:id="77" w:name="_Toc26482"/>
      <w:r>
        <w:rPr>
          <w:rFonts w:hint="eastAsia"/>
        </w:rPr>
        <w:t>壁面边界条件</w:t>
      </w:r>
      <w:bookmarkEnd w:id="76"/>
      <w:bookmarkEnd w:id="7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8" w:name="_Toc24023"/>
      <w:r>
        <w:rPr>
          <w:rFonts w:hint="eastAsia"/>
        </w:rPr>
        <w:t>湍流模型</w:t>
      </w:r>
      <w:bookmarkEnd w:id="40"/>
      <w:bookmarkEnd w:id="41"/>
      <w:bookmarkEnd w:id="7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9" w:name="_Toc451698939"/>
      <w:bookmarkStart w:id="80" w:name="_Toc452108767"/>
      <w:bookmarkStart w:id="81" w:name="_Toc11501"/>
      <w:r>
        <w:rPr>
          <w:rFonts w:hint="eastAsia"/>
        </w:rPr>
        <w:t>求解计算</w:t>
      </w:r>
      <w:bookmarkEnd w:id="79"/>
      <w:bookmarkEnd w:id="80"/>
      <w:bookmarkEnd w:id="8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8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82"/>
      <w:r>
        <w:rPr>
          <w:rFonts w:hint="eastAsia" w:ascii="黑体" w:hAnsi="黑体" w:eastAsia="黑体"/>
          <w:sz w:val="20"/>
          <w:szCs w:val="20"/>
        </w:rPr>
        <w:t xml:space="preserve"> </w:t>
      </w:r>
      <w:bookmarkStart w:id="83" w:name="_Ref225175618"/>
      <w:r>
        <w:rPr>
          <w:rFonts w:hint="eastAsia" w:ascii="黑体" w:hAnsi="黑体" w:eastAsia="黑体"/>
          <w:sz w:val="20"/>
          <w:szCs w:val="20"/>
        </w:rPr>
        <w:t>计算流体力学的控制方程</w:t>
      </w:r>
      <w:bookmarkEnd w:id="8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84" w:name="_Toc509844747"/>
      <w:bookmarkStart w:id="85" w:name="_Toc17231"/>
      <w:r>
        <w:rPr>
          <w:rFonts w:hint="eastAsia"/>
        </w:rPr>
        <w:t>风速放大系数计算</w:t>
      </w:r>
      <w:bookmarkEnd w:id="84"/>
      <w:bookmarkEnd w:id="8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6" o:title=""/>
            <o:lock v:ext="edit" aspectratio="t"/>
            <w10:wrap type="none"/>
            <w10:anchorlock/>
          </v:shape>
          <o:OLEObject Type="Embed" ProgID="Equation.3" ShapeID="_x0000_i1028" DrawAspect="Content" ObjectID="_1468075728" r:id="rId65">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15pt;width:23.8pt;" o:ole="t" filled="f" o:preferrelative="t" stroked="f" coordsize="21600,21600">
            <v:path/>
            <v:fill on="f" focussize="0,0"/>
            <v:stroke on="f" joinstyle="miter"/>
            <v:imagedata r:id="rId68" o:title=""/>
            <o:lock v:ext="edit" aspectratio="t"/>
            <w10:wrap type="none"/>
            <w10:anchorlock/>
          </v:shape>
          <o:OLEObject Type="Embed" ProgID="Equation.3" ShapeID="_x0000_i1029" DrawAspect="Content" ObjectID="_1468075729" r:id="rId67">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05pt;width:23.8pt;" o:ole="t" filled="f" o:preferrelative="t" stroked="f" coordsize="21600,21600">
            <v:path/>
            <v:fill on="f" focussize="0,0"/>
            <v:stroke on="f" joinstyle="miter"/>
            <v:imagedata r:id="rId70" o:title=""/>
            <o:lock v:ext="edit" aspectratio="t"/>
            <w10:wrap type="none"/>
            <w10:anchorlock/>
          </v:shape>
          <o:OLEObject Type="Embed" ProgID="Equation.3" ShapeID="_x0000_i1030" DrawAspect="Content" ObjectID="_1468075730" r:id="rId69">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05pt;width:20.05pt;" o:ole="t" filled="f" o:preferrelative="t" stroked="f" coordsize="21600,21600">
            <v:path/>
            <v:fill on="f" focussize="0,0"/>
            <v:stroke on="f" joinstyle="miter"/>
            <v:imagedata r:id="rId72" o:title=""/>
            <o:lock v:ext="edit" aspectratio="t"/>
            <w10:wrap type="none"/>
            <w10:anchorlock/>
          </v:shape>
          <o:OLEObject Type="Embed" ProgID="Equation.3" ShapeID="_x0000_i1031" DrawAspect="Content" ObjectID="_1468075731" r:id="rId71">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6" w:name="地面粗糙度指数"/>
      <w:r>
        <w:rPr>
          <w:rFonts w:hint="eastAsia"/>
          <w:lang w:val="en-US"/>
        </w:rPr>
        <w:t>0.28</w:t>
      </w:r>
      <w:bookmarkEnd w:id="8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7" w:name="_Toc452108768"/>
      <w:bookmarkStart w:id="88" w:name="_Toc15042"/>
      <w:r>
        <w:rPr>
          <w:rFonts w:hint="eastAsia"/>
        </w:rPr>
        <w:t>结果</w:t>
      </w:r>
      <w:r>
        <w:t>分析</w:t>
      </w:r>
      <w:bookmarkEnd w:id="87"/>
      <w:bookmarkEnd w:id="88"/>
    </w:p>
    <w:p>
      <w:pPr>
        <w:pStyle w:val="4"/>
        <w:rPr>
          <w:szCs w:val="21"/>
        </w:rPr>
      </w:pPr>
      <w:bookmarkStart w:id="89" w:name="_Toc31858"/>
      <w:r>
        <w:rPr>
          <w:rFonts w:hint="eastAsia"/>
          <w:szCs w:val="21"/>
        </w:rPr>
        <w:t>工况</w:t>
      </w:r>
      <w:r>
        <w:rPr>
          <w:szCs w:val="21"/>
        </w:rPr>
        <w:t>表</w:t>
      </w:r>
      <w:bookmarkEnd w:id="8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9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315.0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0.0</w:t>
            </w:r>
          </w:p>
        </w:tc>
      </w:tr>
      <w:bookmarkEnd w:id="9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3"/>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91" w:name="_Toc509844750"/>
      <w:bookmarkStart w:id="92" w:name="_Toc21544"/>
      <w:r>
        <w:rPr>
          <w:rFonts w:hint="eastAsia"/>
        </w:rPr>
        <w:t>冬季工况</w:t>
      </w:r>
      <w:bookmarkEnd w:id="91"/>
      <w:bookmarkEnd w:id="92"/>
    </w:p>
    <w:p>
      <w:pPr>
        <w:ind w:firstLine="420" w:firstLineChars="200"/>
        <w:jc w:val="both"/>
      </w:pPr>
      <w:r>
        <w:rPr>
          <w:rFonts w:hint="eastAsia"/>
          <w:lang w:val="en-US"/>
        </w:rPr>
        <w:t>本项目冬季工况的入口边界风速为</w:t>
      </w:r>
      <w:bookmarkStart w:id="93" w:name="冬季入口边界风速"/>
      <w:r>
        <w:rPr>
          <w:rFonts w:hint="eastAsia" w:ascii="Calibri" w:hAnsi="Calibri"/>
          <w:szCs w:val="21"/>
        </w:rPr>
        <w:t>4.70</w:t>
      </w:r>
      <w:bookmarkEnd w:id="93"/>
      <w:r>
        <w:rPr>
          <w:rFonts w:ascii="Calibri" w:hAnsi="Calibri"/>
          <w:szCs w:val="21"/>
        </w:rPr>
        <w:t>m/s</w:t>
      </w:r>
      <w:r>
        <w:rPr>
          <w:rFonts w:hint="eastAsia" w:ascii="Calibri" w:hAnsi="Calibri"/>
          <w:szCs w:val="21"/>
        </w:rPr>
        <w:t>，风向为</w:t>
      </w:r>
      <w:bookmarkStart w:id="94" w:name="冬季入口边界风向"/>
      <w:r>
        <w:rPr>
          <w:szCs w:val="21"/>
        </w:rPr>
        <w:t>N</w:t>
      </w:r>
      <w:bookmarkEnd w:id="94"/>
      <w:r>
        <w:rPr>
          <w:rFonts w:hint="eastAsia"/>
          <w:szCs w:val="21"/>
        </w:rPr>
        <w:t>。</w:t>
      </w:r>
    </w:p>
    <w:p>
      <w:pPr>
        <w:pStyle w:val="5"/>
      </w:pPr>
      <w:bookmarkStart w:id="95" w:name="_Toc509844751"/>
      <w:bookmarkStart w:id="96" w:name="_Toc7781"/>
      <w:r>
        <w:rPr>
          <w:rFonts w:hint="eastAsia"/>
        </w:rPr>
        <w:t>风速达标分析</w:t>
      </w:r>
      <w:bookmarkEnd w:id="95"/>
      <w:bookmarkEnd w:id="96"/>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97" w:name="冬季工况人行区风速分析结论"/>
      <w:bookmarkEnd w:id="97"/>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8" w:name="冬季工况人行区风速云图"/>
      <w:bookmarkEnd w:id="98"/>
      <w:r>
        <w:drawing>
          <wp:inline distT="0" distB="0" distL="0" distR="0">
            <wp:extent cx="5667375" cy="32289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4"/>
                    <a:stretch>
                      <a:fillRect/>
                    </a:stretch>
                  </pic:blipFill>
                  <pic:spPr>
                    <a:xfrm>
                      <a:off x="0" y="0"/>
                      <a:ext cx="5667375" cy="32289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99" w:name="_Toc509844752"/>
      <w:bookmarkStart w:id="100" w:name="_Toc5253"/>
      <w:r>
        <w:rPr>
          <w:rFonts w:hint="eastAsia"/>
        </w:rPr>
        <w:t>风速放大系数达标分析</w:t>
      </w:r>
      <w:bookmarkEnd w:id="99"/>
      <w:bookmarkEnd w:id="100"/>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101" w:name="冬季工况人行区风速放大系数分析结论"/>
      <w:bookmarkEnd w:id="101"/>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102" w:name="冬季工况人行区风速放大系数云图"/>
      <w:bookmarkEnd w:id="102"/>
      <w:r>
        <w:drawing>
          <wp:inline distT="0" distB="0" distL="0" distR="0">
            <wp:extent cx="5667375" cy="31908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5"/>
                    <a:stretch>
                      <a:fillRect/>
                    </a:stretch>
                  </pic:blipFill>
                  <pic:spPr>
                    <a:xfrm>
                      <a:off x="0" y="0"/>
                      <a:ext cx="5667375" cy="31908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rFonts w:hint="eastAsia"/>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103" w:name="_Toc509844756"/>
      <w:bookmarkEnd w:id="103"/>
      <w:bookmarkStart w:id="104" w:name="_Toc509844754"/>
      <w:bookmarkEnd w:id="104"/>
      <w:bookmarkStart w:id="105" w:name="_Toc509844757"/>
      <w:bookmarkEnd w:id="105"/>
      <w:bookmarkStart w:id="106" w:name="_Toc509844755"/>
      <w:bookmarkEnd w:id="106"/>
    </w:p>
    <w:p>
      <w:pPr>
        <w:pStyle w:val="3"/>
        <w:ind w:firstLine="420"/>
        <w:rPr>
          <w:lang w:val="en-US"/>
        </w:rPr>
      </w:pPr>
    </w:p>
    <w:p>
      <w:pPr>
        <w:pStyle w:val="5"/>
      </w:pPr>
      <w:bookmarkStart w:id="107" w:name="_Toc509844753"/>
      <w:bookmarkStart w:id="108" w:name="_Toc6351"/>
      <w:r>
        <w:rPr>
          <w:rFonts w:hint="eastAsia"/>
        </w:rPr>
        <w:t>冬季工况风速/风速放大系数达标</w:t>
      </w:r>
      <w:bookmarkEnd w:id="107"/>
      <w:r>
        <w:rPr>
          <w:rFonts w:hint="eastAsia"/>
        </w:rPr>
        <w:t>结果汇总</w:t>
      </w:r>
      <w:bookmarkEnd w:id="108"/>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风速是否有超限区域"/>
            <w:r>
              <w:rPr>
                <w:rFonts w:hint="eastAsia" w:ascii="宋体" w:hAnsi="宋体" w:cs="宋体"/>
                <w:color w:val="000000"/>
                <w:sz w:val="22"/>
                <w:szCs w:val="22"/>
                <w:lang w:val="en-US"/>
              </w:rPr>
              <w:t>否</w:t>
            </w:r>
            <w:bookmarkEnd w:id="109"/>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风速达标判断"/>
            <w:r>
              <w:rPr>
                <w:rFonts w:hint="eastAsia" w:ascii="宋体" w:hAnsi="宋体" w:cs="宋体"/>
                <w:color w:val="000000"/>
                <w:sz w:val="22"/>
                <w:szCs w:val="22"/>
                <w:lang w:val="en-US"/>
              </w:rPr>
              <w:t>是</w:t>
            </w:r>
            <w:bookmarkEnd w:id="110"/>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1" w:name="冬季工况风速放大系数是否有超限区域"/>
            <w:r>
              <w:rPr>
                <w:rFonts w:hint="eastAsia" w:ascii="宋体" w:hAnsi="宋体" w:cs="宋体"/>
                <w:color w:val="000000"/>
                <w:sz w:val="22"/>
                <w:szCs w:val="22"/>
                <w:lang w:val="en-US"/>
              </w:rPr>
              <w:t>否</w:t>
            </w:r>
            <w:bookmarkEnd w:id="111"/>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2" w:name="冬季工况风速放大系数达标判断"/>
            <w:r>
              <w:rPr>
                <w:rFonts w:hint="eastAsia" w:ascii="宋体" w:hAnsi="宋体" w:cs="宋体"/>
                <w:color w:val="000000"/>
                <w:sz w:val="22"/>
                <w:szCs w:val="22"/>
                <w:lang w:val="en-US"/>
              </w:rPr>
              <w:t>是</w:t>
            </w:r>
            <w:bookmarkEnd w:id="112"/>
          </w:p>
        </w:tc>
      </w:tr>
    </w:tbl>
    <w:p/>
    <w:p>
      <w:pPr>
        <w:pStyle w:val="5"/>
      </w:pPr>
      <w:bookmarkStart w:id="113" w:name="_Toc26723"/>
      <w:r>
        <w:rPr>
          <w:rFonts w:hint="eastAsia"/>
        </w:rPr>
        <w:t>建筑迎风面和背风面风压分析</w:t>
      </w:r>
      <w:bookmarkEnd w:id="113"/>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4" w:name="冬季工况建筑迎风面风压云图"/>
      <w:bookmarkEnd w:id="114"/>
      <w:r>
        <w:drawing>
          <wp:inline distT="0" distB="0" distL="0" distR="0">
            <wp:extent cx="5667375" cy="33909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7"/>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5" w:name="冬季工况建筑背风面风压云图"/>
      <w:bookmarkEnd w:id="115"/>
      <w:r>
        <w:drawing>
          <wp:inline distT="0" distB="0" distL="0" distR="0">
            <wp:extent cx="5667375" cy="34290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8"/>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6" w:name="建筑迎风面和背风面风压差计算结果"/>
      <w:r>
        <w:rPr>
          <w:rFonts w:hint="eastAsia"/>
        </w:rPr>
        <w:t>建筑迎风面和背风面风压差计算结果</w:t>
      </w:r>
    </w:p>
    <w:p>
      <w:pPr>
        <w:jc w:val="center"/>
        <w:rPr>
          <w:rFonts w:ascii="Cambria" w:hAnsi="Cambria" w:eastAsia="黑体"/>
          <w:sz w:val="20"/>
        </w:rPr>
      </w:pPr>
      <w:bookmarkStart w:id="11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8" w:name="建筑迎背风面风压差表_建筑名"/>
      <w:r>
        <w:rPr>
          <w:rFonts w:ascii="Cambria" w:hAnsi="Cambria" w:eastAsia="黑体"/>
          <w:sz w:val="20"/>
        </w:rPr>
        <w:t>DT单体</w:t>
      </w:r>
      <w:bookmarkEnd w:id="118"/>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0.31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-1.00</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1.31</w:t>
            </w:r>
          </w:p>
        </w:tc>
      </w:tr>
      <w:bookmarkEnd w:id="117"/>
    </w:tbl>
    <w:p>
      <w:bookmarkStart w:id="119" w:name="结论"/>
      <w:bookmarkEnd w:id="119"/>
      <w:r>
        <w:t>标准要求：迎背风面窗平均风压差（绝对值）≤5Pa。结论：该楼</w:t>
      </w:r>
      <w:r>
        <w:rPr>
          <w:b/>
          <w:color w:val="0000FF"/>
        </w:rPr>
        <w:t>达标</w:t>
      </w:r>
      <w:r>
        <w:t>。</w:t>
      </w:r>
    </w:p>
    <w:bookmarkEnd w:id="116"/>
    <w:p>
      <w:pPr>
        <w:jc w:val="center"/>
        <w:rPr>
          <w:rFonts w:ascii="Cambria" w:hAnsi="Cambria" w:eastAsia="黑体"/>
          <w:sz w:val="20"/>
        </w:rPr>
      </w:pPr>
      <w:bookmarkStart w:id="120" w:name="建筑迎背风面风压差表_新增"/>
      <w:bookmarkEnd w:id="120"/>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21"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w:t>
            </w:r>
          </w:p>
        </w:tc>
        <w:tc>
          <w:tcPr>
            <w:tcW w:w="1276" w:type="dxa"/>
            <w:shd w:val="clear" w:color="auto" w:fill="auto"/>
            <w:vAlign w:val="center"/>
          </w:tcPr>
          <w:p>
            <w:pPr>
              <w:jc w:val="center"/>
              <w:rPr>
                <w:lang w:val="en-US"/>
              </w:rPr>
            </w:pPr>
            <w:r>
              <w:rPr>
                <w:lang w:val="en-US"/>
              </w:rPr>
              <w:t>0.31</w:t>
            </w:r>
          </w:p>
        </w:tc>
        <w:tc>
          <w:tcPr>
            <w:tcW w:w="1276" w:type="dxa"/>
            <w:shd w:val="clear" w:color="auto" w:fill="auto"/>
            <w:vAlign w:val="center"/>
          </w:tcPr>
          <w:p>
            <w:pPr>
              <w:jc w:val="center"/>
              <w:rPr>
                <w:lang w:val="en-US"/>
              </w:rPr>
            </w:pPr>
            <w:r>
              <w:rPr>
                <w:lang w:val="en-US"/>
              </w:rPr>
              <w:t>-1.00</w:t>
            </w:r>
          </w:p>
        </w:tc>
        <w:tc>
          <w:tcPr>
            <w:tcW w:w="1701" w:type="dxa"/>
            <w:shd w:val="clear" w:color="auto" w:fill="auto"/>
            <w:vAlign w:val="center"/>
          </w:tcPr>
          <w:p>
            <w:pPr>
              <w:jc w:val="center"/>
              <w:rPr>
                <w:lang w:val="en-US"/>
              </w:rPr>
            </w:pPr>
            <w:r>
              <w:rPr>
                <w:lang w:val="en-US"/>
              </w:rPr>
              <w:t>1.31</w:t>
            </w:r>
          </w:p>
        </w:tc>
        <w:tc>
          <w:tcPr>
            <w:tcW w:w="973" w:type="dxa"/>
            <w:shd w:val="clear" w:color="auto" w:fill="auto"/>
            <w:vAlign w:val="center"/>
          </w:tcPr>
          <w:p>
            <w:pPr>
              <w:jc w:val="center"/>
              <w:rPr>
                <w:lang w:val="en-US"/>
              </w:rPr>
            </w:pPr>
            <w:r>
              <w:rPr>
                <w:lang w:val="en-US"/>
              </w:rPr>
              <w:t>是</w:t>
            </w:r>
          </w:p>
        </w:tc>
      </w:tr>
      <w:bookmarkEnd w:id="121"/>
    </w:tbl>
    <w:p>
      <w:pPr>
        <w:rPr>
          <w:lang w:val="en-US"/>
        </w:rPr>
      </w:pPr>
      <w:bookmarkStart w:id="122" w:name="建筑迎风和背风面风压差结论汇总结论"/>
      <w:bookmarkEnd w:id="122"/>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23" w:name="冬季工况"/>
      <w:bookmarkEnd w:id="123"/>
      <w:r>
        <w:rPr>
          <w:rFonts w:hint="eastAsia"/>
          <w:lang w:val="en-US"/>
        </w:rPr>
        <w:t xml:space="preserve"> </w:t>
      </w:r>
    </w:p>
    <w:p>
      <w:pPr>
        <w:pStyle w:val="4"/>
      </w:pPr>
      <w:bookmarkStart w:id="124" w:name="_Toc509844759"/>
      <w:bookmarkStart w:id="125" w:name="_Toc29437"/>
      <w:r>
        <w:rPr>
          <w:rFonts w:hint="eastAsia"/>
        </w:rPr>
        <w:t>夏季工况</w:t>
      </w:r>
      <w:bookmarkEnd w:id="124"/>
      <w:bookmarkEnd w:id="125"/>
    </w:p>
    <w:p>
      <w:pPr>
        <w:pStyle w:val="3"/>
        <w:ind w:firstLine="420"/>
      </w:pPr>
      <w:r>
        <w:rPr>
          <w:rFonts w:hint="eastAsia"/>
          <w:lang w:val="en-US"/>
        </w:rPr>
        <w:t>本项目夏季工况的入口边界风速为</w:t>
      </w:r>
      <w:bookmarkStart w:id="126" w:name="入口边界风速"/>
      <w:r>
        <w:rPr>
          <w:rFonts w:hint="eastAsia"/>
          <w:lang w:val="en-US"/>
        </w:rPr>
        <w:t>3.00</w:t>
      </w:r>
      <w:bookmarkEnd w:id="126"/>
      <w:r>
        <w:rPr>
          <w:rFonts w:hint="eastAsia"/>
          <w:lang w:val="en-US"/>
        </w:rPr>
        <w:t>m/s，风向为</w:t>
      </w:r>
      <w:bookmarkStart w:id="127" w:name="入口边界风向"/>
      <w:r>
        <w:t>SE</w:t>
      </w:r>
      <w:bookmarkEnd w:id="127"/>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28" w:name="季节4"/>
      <w:r>
        <w:rPr>
          <w:rFonts w:hint="eastAsia"/>
          <w:lang w:val="en-US"/>
        </w:rPr>
        <w:t>夏季</w:t>
      </w:r>
      <w:bookmarkEnd w:id="128"/>
      <w:r>
        <w:rPr>
          <w:rFonts w:hint="eastAsia"/>
          <w:lang w:val="en-US"/>
        </w:rPr>
        <w:t>形成有效的巷道风，优化街区自然通风环境，避免</w:t>
      </w:r>
      <w:bookmarkStart w:id="129" w:name="季节5"/>
      <w:r>
        <w:rPr>
          <w:rFonts w:hint="eastAsia"/>
          <w:lang w:val="en-US"/>
        </w:rPr>
        <w:t>夏季</w:t>
      </w:r>
      <w:bookmarkEnd w:id="129"/>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30" w:name="_Toc509844760"/>
      <w:bookmarkStart w:id="131" w:name="_Toc31522"/>
      <w:r>
        <w:rPr>
          <w:rFonts w:hint="eastAsia"/>
        </w:rPr>
        <w:t>无风区计算分析</w:t>
      </w:r>
      <w:bookmarkEnd w:id="130"/>
      <w:bookmarkEnd w:id="131"/>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132" w:name="人活动区风速分析结论"/>
      <w:bookmarkEnd w:id="132"/>
      <w:r>
        <w:t>黑色等值线内的人活动区域风速</w:t>
      </w:r>
      <w:r>
        <w:rPr>
          <w:color w:val="FF0000"/>
        </w:rPr>
        <w:t>小于</w:t>
      </w:r>
      <w:r>
        <w:t>0.2m/s，因此</w:t>
      </w:r>
      <w:r>
        <w:rPr>
          <w:color w:val="FF0000"/>
        </w:rPr>
        <w:t>未满足</w:t>
      </w:r>
      <w:r>
        <w:t>绿标要求，需调整建筑布局优化人行区风速分布。</w:t>
      </w:r>
    </w:p>
    <w:p>
      <w:pPr>
        <w:pStyle w:val="3"/>
        <w:spacing w:after="156" w:afterLines="50"/>
        <w:ind w:firstLine="0" w:firstLineChars="0"/>
        <w:jc w:val="center"/>
      </w:pPr>
      <w:bookmarkStart w:id="133" w:name="人行区风速云图"/>
      <w:bookmarkEnd w:id="133"/>
      <w:r>
        <w:drawing>
          <wp:inline distT="0" distB="0" distL="0" distR="0">
            <wp:extent cx="5667375" cy="32289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9"/>
                    <a:stretch>
                      <a:fillRect/>
                    </a:stretch>
                  </pic:blipFill>
                  <pic:spPr>
                    <a:xfrm>
                      <a:off x="0" y="0"/>
                      <a:ext cx="5667375" cy="32289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134" w:name="_Toc509844761"/>
      <w:bookmarkStart w:id="135" w:name="_Toc28424"/>
      <w:r>
        <w:rPr>
          <w:rFonts w:hint="eastAsia"/>
        </w:rPr>
        <w:t>旋涡区分析</w:t>
      </w:r>
      <w:bookmarkEnd w:id="134"/>
      <w:bookmarkEnd w:id="135"/>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136" w:name="人行区风速矢量图"/>
      <w:bookmarkEnd w:id="136"/>
      <w:r>
        <w:drawing>
          <wp:inline distT="0" distB="0" distL="0" distR="0">
            <wp:extent cx="5667375" cy="34956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80"/>
                    <a:stretch>
                      <a:fillRect/>
                    </a:stretch>
                  </pic:blipFill>
                  <pic:spPr>
                    <a:xfrm>
                      <a:off x="0" y="0"/>
                      <a:ext cx="5667375" cy="34956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137" w:name="_Toc509844762"/>
      <w:bookmarkStart w:id="138" w:name="_Toc8645"/>
      <w:r>
        <w:rPr>
          <w:rFonts w:hint="eastAsia"/>
        </w:rPr>
        <w:t>旋涡区/无风区达标</w:t>
      </w:r>
      <w:bookmarkEnd w:id="137"/>
      <w:r>
        <w:rPr>
          <w:rFonts w:hint="eastAsia"/>
        </w:rPr>
        <w:t>结果汇总</w:t>
      </w:r>
      <w:bookmarkEnd w:id="138"/>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9" w:name="季节8"/>
      <w:r>
        <w:rPr>
          <w:rFonts w:hint="eastAsia" w:ascii="黑体" w:hAnsi="黑体" w:eastAsia="黑体"/>
          <w:sz w:val="20"/>
          <w:szCs w:val="20"/>
        </w:rPr>
        <w:t>夏季</w:t>
      </w:r>
      <w:bookmarkEnd w:id="139"/>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0" w:name="是否有无风区"/>
            <w:r>
              <w:rPr>
                <w:rFonts w:hint="eastAsia" w:ascii="宋体" w:hAnsi="宋体" w:cs="宋体"/>
                <w:color w:val="FF0000"/>
                <w:sz w:val="22"/>
                <w:szCs w:val="22"/>
                <w:lang w:val="en-US"/>
              </w:rPr>
              <w:t>是</w:t>
            </w:r>
            <w:bookmarkEnd w:id="140"/>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1" w:name="无风区达标判断"/>
            <w:r>
              <w:rPr>
                <w:rFonts w:hint="eastAsia" w:ascii="宋体" w:hAnsi="宋体" w:cs="宋体"/>
                <w:color w:val="FF0000"/>
                <w:sz w:val="22"/>
                <w:szCs w:val="22"/>
                <w:lang w:val="en-US"/>
              </w:rPr>
              <w:t>否</w:t>
            </w:r>
            <w:bookmarkEnd w:id="141"/>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2" w:name="是否有旋涡区"/>
            <w:r>
              <w:rPr>
                <w:rFonts w:ascii="宋体" w:hAnsi="宋体" w:cs="宋体"/>
                <w:color w:val="000000"/>
                <w:sz w:val="22"/>
                <w:szCs w:val="22"/>
                <w:lang w:val="en-US"/>
              </w:rPr>
              <w:t>否</w:t>
            </w:r>
            <w:bookmarkEnd w:id="14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3" w:name="旋涡区达标判断"/>
            <w:r>
              <w:rPr>
                <w:rFonts w:ascii="宋体" w:hAnsi="宋体" w:cs="宋体"/>
                <w:color w:val="000000"/>
                <w:sz w:val="22"/>
                <w:szCs w:val="22"/>
                <w:lang w:val="en-US"/>
              </w:rPr>
              <w:t>是</w:t>
            </w:r>
            <w:bookmarkEnd w:id="143"/>
          </w:p>
        </w:tc>
      </w:tr>
    </w:tbl>
    <w:p>
      <w:pPr>
        <w:pStyle w:val="5"/>
      </w:pPr>
      <w:bookmarkStart w:id="144" w:name="_Toc504501018"/>
      <w:bookmarkStart w:id="145" w:name="_Toc509844763"/>
      <w:bookmarkStart w:id="146" w:name="_Toc1013"/>
      <w:r>
        <w:rPr>
          <w:rFonts w:hint="eastAsia"/>
        </w:rPr>
        <w:t>外窗内外表面风压</w:t>
      </w:r>
      <w:bookmarkEnd w:id="144"/>
      <w:r>
        <w:rPr>
          <w:rFonts w:hint="eastAsia"/>
        </w:rPr>
        <w:t>差达标分析</w:t>
      </w:r>
      <w:bookmarkEnd w:id="145"/>
      <w:bookmarkEnd w:id="146"/>
    </w:p>
    <w:p>
      <w:pPr>
        <w:pStyle w:val="3"/>
        <w:ind w:firstLine="420"/>
      </w:pPr>
      <w:r>
        <w:rPr>
          <w:rFonts w:hint="eastAsia"/>
          <w:lang w:val="en-US"/>
        </w:rPr>
        <w:t>分析《绿色建筑评价标准》，</w:t>
      </w:r>
      <w:bookmarkStart w:id="147" w:name="季节9"/>
      <w:r>
        <w:rPr>
          <w:rFonts w:hint="eastAsia"/>
          <w:lang w:val="en-US"/>
        </w:rPr>
        <w:t>夏季</w:t>
      </w:r>
      <w:bookmarkEnd w:id="147"/>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8" w:name="迎风面风压云图"/>
      <w:bookmarkEnd w:id="148"/>
      <w:r>
        <w:drawing>
          <wp:inline distT="0" distB="0" distL="0" distR="0">
            <wp:extent cx="5667375" cy="33909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1"/>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9" w:name="季节10"/>
      <w:r>
        <w:rPr>
          <w:rFonts w:hint="eastAsia" w:ascii="黑体" w:hAnsi="黑体" w:eastAsia="黑体"/>
          <w:sz w:val="20"/>
          <w:szCs w:val="20"/>
        </w:rPr>
        <w:t>夏季</w:t>
      </w:r>
      <w:bookmarkEnd w:id="149"/>
    </w:p>
    <w:p>
      <w:pPr>
        <w:pStyle w:val="13"/>
        <w:jc w:val="center"/>
      </w:pPr>
      <w:bookmarkStart w:id="150" w:name="背风面风压云图"/>
      <w:bookmarkEnd w:id="150"/>
      <w:r>
        <w:drawing>
          <wp:inline distT="0" distB="0" distL="0" distR="0">
            <wp:extent cx="5667375" cy="34290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2"/>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1" w:name="季节11"/>
      <w:r>
        <w:rPr>
          <w:rFonts w:hint="eastAsia" w:ascii="黑体" w:hAnsi="黑体" w:eastAsia="黑体"/>
          <w:sz w:val="20"/>
          <w:szCs w:val="20"/>
        </w:rPr>
        <w:t>夏季</w:t>
      </w:r>
      <w:bookmarkEnd w:id="151"/>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2"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w:t>
            </w:r>
          </w:p>
        </w:tc>
        <w:tc>
          <w:tcPr>
            <w:tcW w:w="1134" w:type="dxa"/>
            <w:shd w:val="clear" w:color="auto" w:fill="auto"/>
            <w:vAlign w:val="center"/>
          </w:tcPr>
          <w:p>
            <w:pPr>
              <w:jc w:val="center"/>
              <w:rPr>
                <w:lang w:val="en-US"/>
              </w:rPr>
            </w:pPr>
            <w:r>
              <w:rPr>
                <w:lang w:val="en-US"/>
              </w:rPr>
              <w:t>27</w:t>
            </w:r>
          </w:p>
        </w:tc>
        <w:tc>
          <w:tcPr>
            <w:tcW w:w="1984" w:type="dxa"/>
            <w:shd w:val="clear" w:color="auto" w:fill="auto"/>
            <w:vAlign w:val="center"/>
          </w:tcPr>
          <w:p>
            <w:pPr>
              <w:jc w:val="center"/>
              <w:rPr>
                <w:lang w:val="en-US"/>
              </w:rPr>
            </w:pPr>
            <w:r>
              <w:rPr>
                <w:lang w:val="en-US"/>
              </w:rPr>
              <w:t>21</w:t>
            </w:r>
          </w:p>
        </w:tc>
        <w:tc>
          <w:tcPr>
            <w:tcW w:w="1116" w:type="dxa"/>
            <w:shd w:val="clear" w:color="auto" w:fill="auto"/>
            <w:vAlign w:val="center"/>
          </w:tcPr>
          <w:p>
            <w:pPr>
              <w:jc w:val="center"/>
              <w:rPr>
                <w:lang w:val="en-US"/>
              </w:rPr>
            </w:pPr>
            <w:r>
              <w:rPr>
                <w:lang w:val="en-US"/>
              </w:rPr>
              <w:t>77.78</w:t>
            </w:r>
          </w:p>
        </w:tc>
        <w:tc>
          <w:tcPr>
            <w:tcW w:w="708" w:type="dxa"/>
            <w:shd w:val="clear" w:color="auto" w:fill="auto"/>
            <w:vAlign w:val="center"/>
          </w:tcPr>
          <w:p>
            <w:pPr>
              <w:jc w:val="center"/>
              <w:rPr>
                <w:lang w:val="en-US"/>
              </w:rPr>
            </w:pPr>
            <w:r>
              <w:rPr>
                <w:lang w:val="en-US"/>
              </w:rPr>
              <w:t>是</w:t>
            </w:r>
          </w:p>
        </w:tc>
      </w:tr>
      <w:bookmarkEnd w:id="152"/>
    </w:tbl>
    <w:p>
      <w:r>
        <w:rPr>
          <w:rFonts w:hint="eastAsia"/>
          <w:lang w:val="en-US"/>
        </w:rPr>
        <w:t>说明：达标比例＝（室内外风压差大于0.5Pa的总数/可开启外窗总数）*100％</w:t>
      </w:r>
    </w:p>
    <w:p>
      <w:pPr>
        <w:rPr>
          <w:lang w:val="en-US"/>
        </w:rPr>
      </w:pPr>
    </w:p>
    <w:p/>
    <w:p>
      <w:pPr>
        <w:rPr>
          <w:lang w:val="en-US"/>
        </w:rPr>
      </w:pPr>
      <w:bookmarkStart w:id="153" w:name="建筑室内外风压差达标判定结论"/>
      <w:r>
        <w:rPr>
          <w:rFonts w:hint="eastAsia"/>
          <w:lang w:val="en-US"/>
        </w:rPr>
        <w:t>结论：本项目中所有建筑均满足“50%以上可开启外窗室内外表面的风压差大于0.5Pa”的要求。</w:t>
      </w:r>
      <w:bookmarkEnd w:id="153"/>
      <w:r>
        <w:rPr>
          <w:rFonts w:hint="eastAsia"/>
          <w:lang w:val="en-US"/>
        </w:rPr>
        <w:t xml:space="preserve"> </w:t>
      </w:r>
    </w:p>
    <w:p>
      <w:pPr>
        <w:pStyle w:val="4"/>
      </w:pPr>
      <w:bookmarkStart w:id="154" w:name="_Toc15648"/>
      <w:r>
        <w:rPr>
          <w:rFonts w:hint="eastAsia"/>
        </w:rPr>
        <w:t>过渡季工况</w:t>
      </w:r>
      <w:bookmarkEnd w:id="154"/>
    </w:p>
    <w:p>
      <w:pPr>
        <w:pStyle w:val="3"/>
        <w:ind w:firstLine="420"/>
      </w:pPr>
      <w:r>
        <w:rPr>
          <w:rFonts w:hint="eastAsia"/>
          <w:lang w:val="en-US"/>
        </w:rPr>
        <w:t>本项目过渡季</w:t>
      </w:r>
      <w:bookmarkEnd w:id="2"/>
      <w:r>
        <w:rPr>
          <w:rFonts w:hint="eastAsia"/>
          <w:lang w:val="en-US"/>
        </w:rPr>
        <w:t>工况的入口边界风速为3.00</w:t>
      </w:r>
      <w:bookmarkEnd w:id="3"/>
      <w:r>
        <w:rPr>
          <w:rFonts w:hint="eastAsia"/>
          <w:lang w:val="en-US"/>
        </w:rPr>
        <w:t>m/s，风向为</w:t>
      </w:r>
      <w:r>
        <w:t>E</w:t>
      </w:r>
      <w:bookmarkEnd w:id="4"/>
      <w:r>
        <w:rPr>
          <w:rFonts w:hint="eastAsia"/>
          <w:lang w:val="en-US"/>
        </w:rPr>
        <w:t>。</w:t>
      </w:r>
    </w:p>
    <w:p>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55" w:name="_Toc17820"/>
      <w:r>
        <w:rPr>
          <w:rFonts w:hint="eastAsia"/>
        </w:rPr>
        <w:t>无风区计算分析</w:t>
      </w:r>
      <w:bookmarkEnd w:id="43"/>
      <w:bookmarkEnd w:id="155"/>
    </w:p>
    <w:p>
      <w:pPr>
        <w:pStyle w:val="3"/>
        <w:spacing w:after="156" w:afterLines="50"/>
        <w:ind w:firstLine="420"/>
        <w:jc w:val="left"/>
        <w:rPr>
          <w:rFonts w:hint="eastAsia" w:eastAsia="宋体"/>
          <w:lang w:eastAsia="zh-CN"/>
        </w:rPr>
      </w:pPr>
      <w:r>
        <w:rPr>
          <w:rFonts w:hint="eastAsia"/>
        </w:rPr>
        <w:t>下图为整个计算域内风速分布云图，参考图中速度分布可以对项目中建筑布局进行优化。分析下图</w:t>
      </w:r>
      <w:r>
        <w:rPr>
          <w:rFonts w:hint="eastAsia"/>
          <w:lang w:val="en-US"/>
        </w:rPr>
        <w:t>，</w:t>
      </w:r>
      <w:r>
        <w:t>黑色等值线内的人活动区域风速</w:t>
      </w:r>
      <w:r>
        <w:rPr>
          <w:rFonts w:hint="eastAsia"/>
          <w:color w:val="auto"/>
          <w:lang w:val="en-US" w:eastAsia="zh-CN"/>
        </w:rPr>
        <w:t>大于</w:t>
      </w:r>
      <w:r>
        <w:t>0.2m/s，因此</w:t>
      </w:r>
      <w:r>
        <w:rPr>
          <w:rFonts w:hint="eastAsia"/>
          <w:lang w:val="en-US" w:eastAsia="zh-CN"/>
        </w:rPr>
        <w:t>满足</w:t>
      </w:r>
      <w:r>
        <w:t>绿标要求</w:t>
      </w:r>
      <w:r>
        <w:rPr>
          <w:rFonts w:hint="eastAsia"/>
          <w:lang w:eastAsia="zh-CN"/>
        </w:rPr>
        <w:t>。</w:t>
      </w:r>
    </w:p>
    <w:p>
      <w:pPr>
        <w:pStyle w:val="3"/>
        <w:spacing w:after="156" w:afterLines="50"/>
        <w:ind w:firstLine="0" w:firstLineChars="0"/>
        <w:jc w:val="center"/>
      </w:pPr>
      <w:r>
        <w:drawing>
          <wp:inline distT="0" distB="0" distL="0" distR="0">
            <wp:extent cx="5667375" cy="3228975"/>
            <wp:effectExtent l="0" t="0" r="9525"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83"/>
                    <a:stretch>
                      <a:fillRect/>
                    </a:stretch>
                  </pic:blipFill>
                  <pic:spPr>
                    <a:xfrm>
                      <a:off x="0" y="0"/>
                      <a:ext cx="5667375" cy="32289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156" w:name="_Toc22173"/>
      <w:r>
        <w:rPr>
          <w:rFonts w:hint="eastAsia"/>
        </w:rPr>
        <w:t>旋涡区分析</w:t>
      </w:r>
      <w:bookmarkEnd w:id="9"/>
      <w:bookmarkEnd w:id="156"/>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r>
        <w:drawing>
          <wp:inline distT="0" distB="0" distL="0" distR="0">
            <wp:extent cx="5667375" cy="34956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4"/>
                    <a:stretch>
                      <a:fillRect/>
                    </a:stretch>
                  </pic:blipFill>
                  <pic:spPr>
                    <a:xfrm>
                      <a:off x="0" y="0"/>
                      <a:ext cx="5667375" cy="34956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157" w:name="_Toc4334"/>
      <w:r>
        <w:rPr>
          <w:rFonts w:hint="eastAsia"/>
        </w:rPr>
        <w:t>旋涡区/无风区达标</w:t>
      </w:r>
      <w:bookmarkEnd w:id="11"/>
      <w:r>
        <w:rPr>
          <w:rFonts w:hint="eastAsia"/>
        </w:rPr>
        <w:t>结果汇总</w:t>
      </w:r>
      <w:bookmarkEnd w:id="15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w:t>
      </w:r>
      <w:bookmarkEnd w:id="1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bookmarkEnd w:id="16"/>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bookmarkEnd w:id="17"/>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8"/>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20"/>
          </w:p>
        </w:tc>
      </w:tr>
    </w:tbl>
    <w:p>
      <w:pPr>
        <w:pStyle w:val="5"/>
      </w:pPr>
      <w:bookmarkStart w:id="158" w:name="_Toc5098"/>
      <w:r>
        <w:rPr>
          <w:rFonts w:hint="eastAsia"/>
        </w:rPr>
        <w:t>外窗内外表面风压</w:t>
      </w:r>
      <w:bookmarkEnd w:id="21"/>
      <w:r>
        <w:rPr>
          <w:rFonts w:hint="eastAsia"/>
        </w:rPr>
        <w:t>差达标分析</w:t>
      </w:r>
      <w:bookmarkEnd w:id="22"/>
      <w:bookmarkEnd w:id="158"/>
    </w:p>
    <w:p>
      <w:pPr>
        <w:pStyle w:val="3"/>
        <w:ind w:firstLine="420"/>
      </w:pPr>
      <w:r>
        <w:rPr>
          <w:rFonts w:hint="eastAsia"/>
          <w:lang w:val="en-US"/>
        </w:rPr>
        <w:t>分析《绿色建筑评价标准》，过渡季</w:t>
      </w:r>
      <w:bookmarkEnd w:id="24"/>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5"/>
    <w:p>
      <w:pPr>
        <w:pStyle w:val="3"/>
        <w:ind w:firstLine="0" w:firstLineChars="0"/>
        <w:jc w:val="center"/>
      </w:pPr>
      <w:r>
        <w:drawing>
          <wp:inline distT="0" distB="0" distL="0" distR="0">
            <wp:extent cx="5667375" cy="33909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5"/>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26"/>
    </w:p>
    <w:bookmarkEnd w:id="28"/>
    <w:p>
      <w:pPr>
        <w:pStyle w:val="13"/>
        <w:jc w:val="center"/>
      </w:pPr>
      <w:r>
        <w:drawing>
          <wp:inline distT="0" distB="0" distL="0" distR="0">
            <wp:extent cx="5667375" cy="34290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86"/>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29"/>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w:t>
            </w:r>
          </w:p>
        </w:tc>
        <w:tc>
          <w:tcPr>
            <w:tcW w:w="1134" w:type="dxa"/>
            <w:shd w:val="clear" w:color="auto" w:fill="auto"/>
            <w:vAlign w:val="center"/>
          </w:tcPr>
          <w:p>
            <w:pPr>
              <w:jc w:val="center"/>
              <w:rPr>
                <w:lang w:val="en-US"/>
              </w:rPr>
            </w:pPr>
            <w:r>
              <w:rPr>
                <w:lang w:val="en-US"/>
              </w:rPr>
              <w:t>27</w:t>
            </w:r>
          </w:p>
        </w:tc>
        <w:tc>
          <w:tcPr>
            <w:tcW w:w="1984" w:type="dxa"/>
            <w:shd w:val="clear" w:color="auto" w:fill="auto"/>
            <w:vAlign w:val="center"/>
          </w:tcPr>
          <w:p>
            <w:pPr>
              <w:jc w:val="center"/>
              <w:rPr>
                <w:lang w:val="en-US"/>
              </w:rPr>
            </w:pPr>
            <w:r>
              <w:rPr>
                <w:lang w:val="en-US"/>
              </w:rPr>
              <w:t>24</w:t>
            </w:r>
          </w:p>
        </w:tc>
        <w:tc>
          <w:tcPr>
            <w:tcW w:w="1116" w:type="dxa"/>
            <w:shd w:val="clear" w:color="auto" w:fill="auto"/>
            <w:vAlign w:val="center"/>
          </w:tcPr>
          <w:p>
            <w:pPr>
              <w:jc w:val="center"/>
              <w:rPr>
                <w:lang w:val="en-US"/>
              </w:rPr>
            </w:pPr>
            <w:r>
              <w:rPr>
                <w:lang w:val="en-US"/>
              </w:rPr>
              <w:t>88.89</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1"/>
    <w:p>
      <w:pPr>
        <w:rPr>
          <w:lang w:val="en-US"/>
        </w:rPr>
      </w:pPr>
    </w:p>
    <w:p/>
    <w:p>
      <w:pPr>
        <w:rPr>
          <w:lang w:val="en-US"/>
        </w:rPr>
      </w:pPr>
      <w:r>
        <w:rPr>
          <w:rFonts w:hint="eastAsia"/>
          <w:lang w:val="en-US"/>
        </w:rPr>
        <w:t>结论：本项目中所有建筑均满足“50%以上可开启外窗室内外表面的风压差大于0.5Pa”的要求。</w:t>
      </w:r>
      <w:bookmarkEnd w:id="32"/>
      <w:r>
        <w:rPr>
          <w:rFonts w:hint="eastAsia"/>
          <w:lang w:val="en-US"/>
        </w:rPr>
        <w:t xml:space="preserve"> </w:t>
      </w:r>
    </w:p>
    <w:p>
      <w:pPr>
        <w:rPr>
          <w:lang w:val="en-US"/>
        </w:rPr>
      </w:pPr>
      <w:bookmarkStart w:id="159" w:name="其他工况"/>
      <w:bookmarkEnd w:id="159"/>
      <w:r>
        <w:rPr>
          <w:rFonts w:hint="eastAsia"/>
          <w:lang w:val="en-US"/>
        </w:rPr>
        <w:t xml:space="preserve"> </w:t>
      </w:r>
    </w:p>
    <w:p>
      <w:pPr>
        <w:pStyle w:val="4"/>
      </w:pPr>
      <w:bookmarkStart w:id="160" w:name="_Toc509844764"/>
      <w:bookmarkStart w:id="161" w:name="_Toc18268"/>
      <w:r>
        <w:rPr>
          <w:rFonts w:hint="eastAsia"/>
        </w:rPr>
        <w:t>结论</w:t>
      </w:r>
      <w:bookmarkEnd w:id="160"/>
      <w:bookmarkEnd w:id="161"/>
    </w:p>
    <w:p>
      <w:pPr>
        <w:pStyle w:val="5"/>
      </w:pPr>
      <w:bookmarkStart w:id="162" w:name="_Toc509844765"/>
      <w:bookmarkStart w:id="163" w:name="_Toc16715"/>
      <w:r>
        <w:rPr>
          <w:rFonts w:hint="eastAsia"/>
        </w:rPr>
        <w:t>冬季工况达标判断</w:t>
      </w:r>
      <w:bookmarkEnd w:id="162"/>
      <w:bookmarkEnd w:id="163"/>
      <w:bookmarkStart w:id="164" w:name="_Toc509844766"/>
      <w:bookmarkEnd w:id="16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5" w:name="标准要求冬季风速得分"/>
            <w:r>
              <w:rPr>
                <w:rFonts w:hint="eastAsia"/>
                <w:lang w:val="en-US"/>
              </w:rPr>
              <w:t>3</w:t>
            </w:r>
            <w:bookmarkEnd w:id="165"/>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66" w:name="冬季风速结果计算域"/>
            <w:r>
              <w:t>没有出现</w:t>
            </w:r>
            <w:bookmarkEnd w:id="166"/>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67" w:name="冬季风速达标判定"/>
            <w:r>
              <w:rPr>
                <w:rFonts w:hint="eastAsia"/>
                <w:b/>
                <w:lang w:val="en-US"/>
              </w:rPr>
              <w:t>达标</w:t>
            </w:r>
            <w:bookmarkEnd w:id="167"/>
          </w:p>
        </w:tc>
        <w:tc>
          <w:tcPr>
            <w:tcW w:w="1416" w:type="dxa"/>
            <w:vMerge w:val="restart"/>
            <w:tcBorders>
              <w:top w:val="single" w:color="auto" w:sz="4" w:space="0"/>
            </w:tcBorders>
            <w:shd w:val="clear" w:color="auto" w:fill="auto"/>
            <w:vAlign w:val="center"/>
          </w:tcPr>
          <w:p>
            <w:pPr>
              <w:jc w:val="center"/>
              <w:rPr>
                <w:lang w:val="en-US"/>
              </w:rPr>
            </w:pPr>
            <w:bookmarkStart w:id="168" w:name="冬季风速得分"/>
            <w:r>
              <w:rPr>
                <w:rFonts w:hint="eastAsia"/>
                <w:lang w:val="en-US"/>
              </w:rPr>
              <w:t>3</w:t>
            </w:r>
            <w:bookmarkEnd w:id="168"/>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69" w:name="冬季风速放大系数结果计算域"/>
            <w:r>
              <w:t>没有出现</w:t>
            </w:r>
            <w:bookmarkEnd w:id="169"/>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70" w:name="标准要求冬季风压得分"/>
            <w:r>
              <w:rPr>
                <w:rFonts w:hint="eastAsia"/>
                <w:lang w:val="en-US"/>
              </w:rPr>
              <w:t>2</w:t>
            </w:r>
            <w:bookmarkEnd w:id="170"/>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bookmarkStart w:id="171" w:name="冬季迎背风面结果"/>
            <w:r>
              <w:t>没有出现</w:t>
            </w:r>
            <w:bookmarkEnd w:id="171"/>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72" w:name="冬季迎背风面达标判定"/>
            <w:r>
              <w:rPr>
                <w:rFonts w:hint="eastAsia"/>
                <w:b/>
                <w:lang w:val="en-US"/>
              </w:rPr>
              <w:t>达标</w:t>
            </w:r>
            <w:bookmarkEnd w:id="172"/>
          </w:p>
        </w:tc>
        <w:tc>
          <w:tcPr>
            <w:tcW w:w="1416" w:type="dxa"/>
            <w:shd w:val="clear" w:color="auto" w:fill="auto"/>
            <w:vAlign w:val="center"/>
          </w:tcPr>
          <w:p>
            <w:pPr>
              <w:jc w:val="center"/>
              <w:rPr>
                <w:lang w:val="en-US"/>
              </w:rPr>
            </w:pPr>
            <w:bookmarkStart w:id="173" w:name="冬季迎背风面得分"/>
            <w:r>
              <w:rPr>
                <w:rFonts w:hint="eastAsia"/>
                <w:lang w:val="en-US"/>
              </w:rPr>
              <w:t>2</w:t>
            </w:r>
            <w:bookmarkEnd w:id="173"/>
            <w:r>
              <w:rPr>
                <w:rFonts w:hint="eastAsia"/>
                <w:lang w:val="en-US"/>
              </w:rPr>
              <w:t>分</w:t>
            </w:r>
          </w:p>
        </w:tc>
      </w:tr>
    </w:tbl>
    <w:p>
      <w:pPr>
        <w:rPr>
          <w:szCs w:val="21"/>
          <w:lang w:val="en-US"/>
        </w:rPr>
      </w:pPr>
      <w:bookmarkStart w:id="174" w:name="_Toc509844767"/>
      <w:bookmarkEnd w:id="174"/>
      <w:bookmarkStart w:id="175" w:name="_Toc509844768"/>
      <w:bookmarkEnd w:id="175"/>
    </w:p>
    <w:bookmarkEnd w:id="0"/>
    <w:bookmarkEnd w:id="1"/>
    <w:p>
      <w:pPr>
        <w:pStyle w:val="5"/>
      </w:pPr>
      <w:bookmarkStart w:id="176" w:name="_Toc509844769"/>
      <w:bookmarkStart w:id="177" w:name="_Toc31326"/>
      <w:r>
        <w:rPr>
          <w:rFonts w:hint="eastAsia"/>
        </w:rPr>
        <w:t>过渡季、夏季工况达标判断</w:t>
      </w:r>
      <w:bookmarkEnd w:id="176"/>
      <w:bookmarkEnd w:id="17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8" w:name="标准要求夏季风速得分"/>
            <w:r>
              <w:rPr>
                <w:rFonts w:hint="eastAsia"/>
                <w:lang w:val="en-US"/>
              </w:rPr>
              <w:t>3</w:t>
            </w:r>
            <w:bookmarkEnd w:id="178"/>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79" w:name="夏季无风区结果计算域"/>
            <w:r>
              <w:rPr>
                <w:rFonts w:hint="eastAsia"/>
                <w:color w:val="FF0000"/>
                <w:lang w:val="en-US"/>
              </w:rPr>
              <w:t>有</w:t>
            </w:r>
            <w:bookmarkEnd w:id="179"/>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80" w:name="标准要求夏季风压得分"/>
            <w:r>
              <w:rPr>
                <w:rFonts w:hint="eastAsia"/>
                <w:lang w:val="en-US"/>
              </w:rPr>
              <w:t>2</w:t>
            </w:r>
            <w:bookmarkEnd w:id="180"/>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81" w:name="夏季窗内外风压差结果"/>
            <w:r>
              <w:rPr>
                <w:rFonts w:hint="eastAsia"/>
                <w:lang w:val="en-US"/>
              </w:rPr>
              <w:t>满足</w:t>
            </w:r>
            <w:bookmarkEnd w:id="181"/>
            <w:r>
              <w:rPr>
                <w:rFonts w:hint="eastAsia"/>
                <w:lang w:val="en-US"/>
              </w:rPr>
              <w:t>标准要求</w:t>
            </w:r>
          </w:p>
        </w:tc>
        <w:tc>
          <w:tcPr>
            <w:tcW w:w="1985" w:type="dxa"/>
            <w:shd w:val="clear" w:color="auto" w:fill="auto"/>
            <w:vAlign w:val="center"/>
          </w:tcPr>
          <w:p>
            <w:pPr>
              <w:jc w:val="center"/>
              <w:rPr>
                <w:b/>
                <w:lang w:val="en-US"/>
              </w:rPr>
            </w:pPr>
            <w:bookmarkStart w:id="182" w:name="夏季窗内外风压差达标判定"/>
            <w:r>
              <w:rPr>
                <w:rFonts w:hint="eastAsia"/>
                <w:b/>
                <w:lang w:val="en-US"/>
              </w:rPr>
              <w:t>达标</w:t>
            </w:r>
            <w:bookmarkEnd w:id="182"/>
          </w:p>
        </w:tc>
        <w:tc>
          <w:tcPr>
            <w:tcW w:w="1416" w:type="dxa"/>
            <w:shd w:val="clear" w:color="auto" w:fill="auto"/>
            <w:vAlign w:val="center"/>
          </w:tcPr>
          <w:p>
            <w:pPr>
              <w:jc w:val="center"/>
              <w:rPr>
                <w:lang w:val="en-US"/>
              </w:rPr>
            </w:pPr>
            <w:bookmarkStart w:id="183" w:name="夏季窗内外风压差得分"/>
            <w:r>
              <w:rPr>
                <w:rFonts w:hint="eastAsia"/>
                <w:lang w:val="en-US"/>
              </w:rPr>
              <w:t>2</w:t>
            </w:r>
            <w:bookmarkEnd w:id="183"/>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10</w:t>
      </w:r>
      <w:bookmarkStart w:id="184" w:name="_GoBack"/>
      <w:bookmarkEnd w:id="184"/>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MWE5ZjY0MmRhNzdjMTJhODRlOTI4NTRkMmZhN2UifQ=="/>
  </w:docVars>
  <w:rsids>
    <w:rsidRoot w:val="72ED6455"/>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72ED6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9" Type="http://schemas.openxmlformats.org/officeDocument/2006/relationships/fontTable" Target="fontTable.xml"/><Relationship Id="rId88" Type="http://schemas.openxmlformats.org/officeDocument/2006/relationships/customXml" Target="../customXml/item1.xml"/><Relationship Id="rId87" Type="http://schemas.openxmlformats.org/officeDocument/2006/relationships/numbering" Target="numbering.xml"/><Relationship Id="rId86" Type="http://schemas.openxmlformats.org/officeDocument/2006/relationships/image" Target="media/image72.png"/><Relationship Id="rId85" Type="http://schemas.openxmlformats.org/officeDocument/2006/relationships/image" Target="media/image71.png"/><Relationship Id="rId84" Type="http://schemas.openxmlformats.org/officeDocument/2006/relationships/image" Target="media/image70.png"/><Relationship Id="rId83" Type="http://schemas.openxmlformats.org/officeDocument/2006/relationships/image" Target="media/image69.png"/><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wmf"/><Relationship Id="rId71" Type="http://schemas.openxmlformats.org/officeDocument/2006/relationships/oleObject" Target="embeddings/oleObject7.bin"/><Relationship Id="rId70" Type="http://schemas.openxmlformats.org/officeDocument/2006/relationships/image" Target="media/image57.wmf"/><Relationship Id="rId7" Type="http://schemas.openxmlformats.org/officeDocument/2006/relationships/footer" Target="footer2.xml"/><Relationship Id="rId69" Type="http://schemas.openxmlformats.org/officeDocument/2006/relationships/oleObject" Target="embeddings/oleObject6.bin"/><Relationship Id="rId68" Type="http://schemas.openxmlformats.org/officeDocument/2006/relationships/image" Target="media/image56.wmf"/><Relationship Id="rId67" Type="http://schemas.openxmlformats.org/officeDocument/2006/relationships/oleObject" Target="embeddings/oleObject5.bin"/><Relationship Id="rId66" Type="http://schemas.openxmlformats.org/officeDocument/2006/relationships/image" Target="media/image55.wmf"/><Relationship Id="rId65" Type="http://schemas.openxmlformats.org/officeDocument/2006/relationships/oleObject" Target="embeddings/oleObject4.bin"/><Relationship Id="rId64" Type="http://schemas.openxmlformats.org/officeDocument/2006/relationships/image" Target="media/image54.wmf"/><Relationship Id="rId63" Type="http://schemas.openxmlformats.org/officeDocument/2006/relationships/image" Target="media/image53.wmf"/><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3.bin"/><Relationship Id="rId22" Type="http://schemas.openxmlformats.org/officeDocument/2006/relationships/image" Target="media/image13.wmf"/><Relationship Id="rId21" Type="http://schemas.openxmlformats.org/officeDocument/2006/relationships/oleObject" Target="embeddings/oleObject2.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tmp2.dotx</Template>
  <Company>云南建投集团</Company>
  <Pages>27</Pages>
  <Words>7371</Words>
  <Characters>8298</Characters>
  <Lines>41</Lines>
  <Paragraphs>11</Paragraphs>
  <TotalTime>1</TotalTime>
  <ScaleCrop>false</ScaleCrop>
  <LinksUpToDate>false</LinksUpToDate>
  <CharactersWithSpaces>8539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2023-12-29T01:27:00Z</dcterms:created>
  <dc:creator>Mr.z</dc:creator>
  <cp:lastModifiedBy>Mr.z</cp:lastModifiedBy>
  <dcterms:modified xsi:type="dcterms:W3CDTF">2023-12-29T01:29:06Z</dcterms:modified>
  <dc:title>室外风环境模拟分析报告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7E893D6DD3F64C9A9C530574FE47A199_11</vt:lpwstr>
  </property>
  <property fmtid="{D5CDD505-2E9C-101B-9397-08002B2CF9AE}" pid="3" name="KSOProductBuildVer">
    <vt:lpwstr>2052-12.1.0.16120</vt:lpwstr>
  </property>
</Properties>
</file>