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炫彩光伏-穆棱水泥厂绿建改造设计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bookmarkStart w:id="4" w:name="地理位置"/>
            <w:r>
              <w:t>黑龙江-</w:t>
            </w:r>
            <w:bookmarkEnd w:id="4"/>
            <w:r>
              <w:rPr>
                <w:rFonts w:hint="eastAsia"/>
                <w:lang w:val="en-US" w:eastAsia="zh-CN"/>
              </w:rPr>
              <w:t>牡丹江</w:t>
            </w:r>
            <w:bookmarkStart w:id="70" w:name="_GoBack"/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2023年12月23日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T18363307172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"_Toc154223830"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_Toc154223830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"_Toc154223831"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_Toc154223831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"_Toc154223832"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_Toc154223832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"_Toc154223833"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_Toc154223833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"_Toc154223834"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_Toc154223834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"_Toc154223835"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_Toc154223835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"_Toc154223836"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_Toc154223836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"_Toc154223837"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_Toc154223837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"_Toc154223838"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_Toc154223838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"_Toc154223839" </w:instrText>
      </w:r>
      <w:r>
        <w:fldChar w:fldCharType="separate"/>
      </w:r>
      <w:r>
        <w:rPr>
          <w:rStyle w:val="21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_Toc154223839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"_Toc154223840"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_Toc154223840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"_Toc154223841"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_Toc154223841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"_Toc154223842"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_Toc154223842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"_Toc154223843" </w:instrText>
      </w:r>
      <w:r>
        <w:fldChar w:fldCharType="separate"/>
      </w:r>
      <w:r>
        <w:rPr>
          <w:rStyle w:val="21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_Toc154223843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"_Toc154223844"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_Toc154223844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"_Toc154223845"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屋顶构造二</w:t>
      </w:r>
      <w:r>
        <w:tab/>
      </w:r>
      <w:r>
        <w:fldChar w:fldCharType="begin"/>
      </w:r>
      <w:r>
        <w:instrText xml:space="preserve"> PAGEREF _Toc154223845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"_Toc154223846"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_Toc154223846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"_Toc154223847" </w:instrText>
      </w:r>
      <w:r>
        <w:fldChar w:fldCharType="separate"/>
      </w:r>
      <w:r>
        <w:rPr>
          <w:rStyle w:val="21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_Toc154223847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"_Toc154223848" </w:instrText>
      </w:r>
      <w:r>
        <w:fldChar w:fldCharType="separate"/>
      </w:r>
      <w:r>
        <w:rPr>
          <w:rStyle w:val="21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_Toc154223848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"_Toc154223849" </w:instrText>
      </w:r>
      <w:r>
        <w:fldChar w:fldCharType="separate"/>
      </w:r>
      <w:r>
        <w:rPr>
          <w:rStyle w:val="21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_Toc154223849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"_Toc154223850"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_Toc154223850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"_Toc154223851"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采暖与非采暖隔墙</w:t>
      </w:r>
      <w:r>
        <w:tab/>
      </w:r>
      <w:r>
        <w:fldChar w:fldCharType="begin"/>
      </w:r>
      <w:r>
        <w:instrText xml:space="preserve"> PAGEREF _Toc154223851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"_Toc154223852"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地下车库与供暖房间之间的楼板</w:t>
      </w:r>
      <w:r>
        <w:tab/>
      </w:r>
      <w:r>
        <w:fldChar w:fldCharType="begin"/>
      </w:r>
      <w:r>
        <w:instrText xml:space="preserve"> PAGEREF _Toc154223852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"_Toc154223853"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_Toc154223853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"_Toc154223854" </w:instrText>
      </w:r>
      <w:r>
        <w:fldChar w:fldCharType="separate"/>
      </w:r>
      <w:r>
        <w:rPr>
          <w:rStyle w:val="21"/>
          <w:lang w:val="en-GB"/>
        </w:rPr>
        <w:t>4.12.1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_Toc154223854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"_Toc154223855" </w:instrText>
      </w:r>
      <w:r>
        <w:fldChar w:fldCharType="separate"/>
      </w:r>
      <w:r>
        <w:rPr>
          <w:rStyle w:val="21"/>
          <w:lang w:val="en-GB"/>
        </w:rPr>
        <w:t>4.12.2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_Toc154223855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"_Toc154223856" </w:instrText>
      </w:r>
      <w:r>
        <w:fldChar w:fldCharType="separate"/>
      </w:r>
      <w:r>
        <w:rPr>
          <w:rStyle w:val="21"/>
          <w:lang w:val="en-GB"/>
        </w:rPr>
        <w:t>4.12.3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_Toc154223856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"_Toc154223857" </w:instrText>
      </w:r>
      <w:r>
        <w:fldChar w:fldCharType="separate"/>
      </w:r>
      <w:r>
        <w:rPr>
          <w:rStyle w:val="21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_Toc154223857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"_Toc154223858" </w:instrText>
      </w:r>
      <w:r>
        <w:fldChar w:fldCharType="separate"/>
      </w:r>
      <w:r>
        <w:rPr>
          <w:rStyle w:val="21"/>
          <w:lang w:val="en-GB"/>
        </w:rPr>
        <w:t>4.13.1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周边地面构造二</w:t>
      </w:r>
      <w:r>
        <w:tab/>
      </w:r>
      <w:r>
        <w:fldChar w:fldCharType="begin"/>
      </w:r>
      <w:r>
        <w:instrText xml:space="preserve"> PAGEREF _Toc154223858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"_Toc154223859" </w:instrText>
      </w:r>
      <w:r>
        <w:fldChar w:fldCharType="separate"/>
      </w:r>
      <w:r>
        <w:rPr>
          <w:rStyle w:val="21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采暖地下室外墙构造</w:t>
      </w:r>
      <w:r>
        <w:tab/>
      </w:r>
      <w:r>
        <w:fldChar w:fldCharType="begin"/>
      </w:r>
      <w:r>
        <w:instrText xml:space="preserve"> PAGEREF _Toc154223859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"_Toc154223860" </w:instrText>
      </w:r>
      <w:r>
        <w:fldChar w:fldCharType="separate"/>
      </w:r>
      <w:r>
        <w:rPr>
          <w:rStyle w:val="21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变形缝</w:t>
      </w:r>
      <w:r>
        <w:tab/>
      </w:r>
      <w:r>
        <w:fldChar w:fldCharType="begin"/>
      </w:r>
      <w:r>
        <w:instrText xml:space="preserve"> PAGEREF _Toc154223860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"_Toc154223861" </w:instrText>
      </w:r>
      <w:r>
        <w:fldChar w:fldCharType="separate"/>
      </w:r>
      <w:r>
        <w:rPr>
          <w:rStyle w:val="21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_Toc154223861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"_Toc154223862" </w:instrText>
      </w:r>
      <w:r>
        <w:fldChar w:fldCharType="separate"/>
      </w:r>
      <w:r>
        <w:rPr>
          <w:rStyle w:val="21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_Toc154223862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"_Toc154223863" </w:instrText>
      </w:r>
      <w:r>
        <w:fldChar w:fldCharType="separate"/>
      </w:r>
      <w:r>
        <w:rPr>
          <w:rStyle w:val="21"/>
          <w:lang w:val="en-GB"/>
        </w:rPr>
        <w:t>4.18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_Toc154223863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"_Toc154223864" </w:instrText>
      </w:r>
      <w:r>
        <w:fldChar w:fldCharType="separate"/>
      </w:r>
      <w:r>
        <w:rPr>
          <w:rStyle w:val="21"/>
          <w:lang w:val="en-GB"/>
        </w:rPr>
        <w:t>4.19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外门气密性</w:t>
      </w:r>
      <w:r>
        <w:tab/>
      </w:r>
      <w:r>
        <w:fldChar w:fldCharType="begin"/>
      </w:r>
      <w:r>
        <w:instrText xml:space="preserve"> PAGEREF _Toc154223864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"_Toc154223865" </w:instrText>
      </w:r>
      <w:r>
        <w:fldChar w:fldCharType="separate"/>
      </w:r>
      <w:r>
        <w:rPr>
          <w:rStyle w:val="21"/>
          <w:lang w:val="en-GB"/>
        </w:rPr>
        <w:t>4.20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_Toc154223865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"_Toc154223866" </w:instrText>
      </w:r>
      <w:r>
        <w:fldChar w:fldCharType="separate"/>
      </w:r>
      <w:r>
        <w:rPr>
          <w:rStyle w:val="21"/>
          <w:lang w:val="en-GB"/>
        </w:rPr>
        <w:t>4.21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_Toc154223866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54223830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黑龙江-哈尔滨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46.00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126.61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严寒B区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1058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3340.15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1246.48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154223831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54223832"/>
      <w:r>
        <w:rPr>
          <w:kern w:val="2"/>
          <w:szCs w:val="24"/>
        </w:rPr>
        <w:t>建筑大样</w:t>
      </w:r>
      <w:bookmarkEnd w:id="34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38137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53377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768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5" w:name="_Toc154223833"/>
      <w:r>
        <w:rPr>
          <w:kern w:val="2"/>
          <w:szCs w:val="24"/>
        </w:rPr>
        <w:t>规定性指标检查</w:t>
      </w:r>
      <w:bookmarkEnd w:id="35"/>
    </w:p>
    <w:p>
      <w:pPr>
        <w:pStyle w:val="4"/>
        <w:widowControl w:val="0"/>
        <w:rPr>
          <w:kern w:val="2"/>
        </w:rPr>
      </w:pPr>
      <w:bookmarkStart w:id="36" w:name="_Toc154223834"/>
      <w:r>
        <w:rPr>
          <w:kern w:val="2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水泥珍珠岩找坡层</w:t>
            </w:r>
          </w:p>
        </w:tc>
        <w:tc>
          <w:tcPr>
            <w:tcW w:w="1018" w:type="dxa"/>
            <w:vAlign w:val="center"/>
          </w:tcPr>
          <w:p>
            <w:r>
              <w:t>0.490</w:t>
            </w:r>
          </w:p>
        </w:tc>
        <w:tc>
          <w:tcPr>
            <w:tcW w:w="1030" w:type="dxa"/>
            <w:vAlign w:val="center"/>
          </w:tcPr>
          <w:p>
            <w:r>
              <w:t>10.408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1900.0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>
            <w:r>
              <w:t>0.034</w:t>
            </w:r>
          </w:p>
        </w:tc>
        <w:tc>
          <w:tcPr>
            <w:tcW w:w="1030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60.0</w:t>
            </w:r>
          </w:p>
        </w:tc>
        <w:tc>
          <w:tcPr>
            <w:tcW w:w="1018" w:type="dxa"/>
            <w:vAlign w:val="center"/>
          </w:tcPr>
          <w:p>
            <w:r>
              <w:t>1378.6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专用饰面砂浆与涂料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玻璃纤维网络布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1780.0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承重混凝土空心砌块</w:t>
            </w:r>
          </w:p>
        </w:tc>
        <w:tc>
          <w:tcPr>
            <w:tcW w:w="1018" w:type="dxa"/>
            <w:vAlign w:val="center"/>
          </w:tcPr>
          <w:p>
            <w:r>
              <w:t>0.950</w:t>
            </w:r>
          </w:p>
        </w:tc>
        <w:tc>
          <w:tcPr>
            <w:tcW w:w="1030" w:type="dxa"/>
            <w:vAlign w:val="center"/>
          </w:tcPr>
          <w:p>
            <w:r>
              <w:t>8.430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STP(VIPB)真空绝热板I型</w:t>
            </w:r>
          </w:p>
        </w:tc>
        <w:tc>
          <w:tcPr>
            <w:tcW w:w="1018" w:type="dxa"/>
            <w:vAlign w:val="center"/>
          </w:tcPr>
          <w:p>
            <w:r>
              <w:t>0.005</w:t>
            </w:r>
          </w:p>
        </w:tc>
        <w:tc>
          <w:tcPr>
            <w:tcW w:w="1030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450.0</w:t>
            </w:r>
          </w:p>
        </w:tc>
        <w:tc>
          <w:tcPr>
            <w:tcW w:w="1018" w:type="dxa"/>
            <w:vAlign w:val="center"/>
          </w:tcPr>
          <w:p>
            <w:r>
              <w:t>8800.6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燃烧性能A级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7" w:name="_Toc154223835"/>
      <w:r>
        <w:rPr>
          <w:kern w:val="2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屋顶构造二：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水泥珍珠岩找坡层 30mm＋酚醛泡沫板（用于墙体） 20mm＋</w:t>
      </w:r>
      <w:r>
        <w:rPr>
          <w:color w:val="800000"/>
          <w:kern w:val="2"/>
          <w:szCs w:val="24"/>
          <w:lang w:val="en-US"/>
        </w:rPr>
        <w:t>挤塑聚苯板(ρ=25-32) 100mm</w:t>
      </w:r>
      <w:r>
        <w:rPr>
          <w:color w:val="000000"/>
          <w:kern w:val="2"/>
          <w:szCs w:val="24"/>
          <w:lang w:val="en-US"/>
        </w:rPr>
        <w:t>＋水泥砂浆 20mm＋钢筋混凝土 100mm＋石灰水泥砂浆（混合砂浆）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外墙构造二：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专用饰面砂浆与涂料 10mm＋玻璃纤维网络布 3mm＋</w:t>
      </w:r>
      <w:r>
        <w:rPr>
          <w:color w:val="800000"/>
          <w:kern w:val="2"/>
          <w:szCs w:val="24"/>
          <w:lang w:val="en-US"/>
        </w:rPr>
        <w:t>聚苯板 150mm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80"/>
          <w:kern w:val="2"/>
          <w:szCs w:val="24"/>
          <w:lang w:val="en-US"/>
        </w:rPr>
        <w:t>承重混凝土空心砌块 190mm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幕墙：</w:t>
      </w:r>
      <w:r>
        <w:rPr>
          <w:color w:val="0000FF"/>
          <w:kern w:val="2"/>
          <w:szCs w:val="21"/>
          <w:lang w:val="en-US"/>
        </w:rPr>
        <w:t>80系列七腔三密封（5+14Ar+-4+12Ar+5 双银 Low-E+V (0.15) +5）：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传热系数0.910W/m^2.K，自身遮阳系数0.160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Cs w:val="21"/>
          <w:lang w:val="en-US"/>
        </w:rPr>
        <w:t>100-1400A木窗（塑料）双层窗（平均）：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传热系数2.300W/m^2.K，自身遮阳系数0.650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周边地面构造：</w:t>
      </w:r>
      <w:r>
        <w:rPr>
          <w:color w:val="0000FF"/>
          <w:kern w:val="2"/>
          <w:szCs w:val="21"/>
          <w:lang w:val="en-US"/>
        </w:rPr>
        <w:t>周边地面构造二：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STP(VIPB)真空绝热板I型 20mm</w:t>
      </w:r>
      <w:r>
        <w:rPr>
          <w:color w:val="000000"/>
          <w:kern w:val="2"/>
          <w:szCs w:val="24"/>
          <w:lang w:val="en-US"/>
        </w:rPr>
        <w:t>＋细石混凝土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8" w:name="_Toc154223836"/>
      <w:r>
        <w:rPr>
          <w:kern w:val="2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1246.48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3340.15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《公共建筑节能设计标准》(GB50189-2015)第3.2.1条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严寒和寒冷地区体形系数应符合表3.2.1的规定(s≤0.40)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154223837"/>
      <w:r>
        <w:rPr>
          <w:kern w:val="2"/>
        </w:rPr>
        <w:t>窗墙比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154223838"/>
      <w:r>
        <w:rPr>
          <w:color w:val="000000"/>
          <w:kern w:val="2"/>
          <w:szCs w:val="24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立面3</w:t>
            </w:r>
          </w:p>
        </w:tc>
        <w:tc>
          <w:tcPr>
            <w:tcW w:w="1584" w:type="dxa"/>
            <w:vAlign w:val="center"/>
          </w:tcPr>
          <w:p>
            <w:r>
              <w:t>10.98</w:t>
            </w:r>
          </w:p>
        </w:tc>
        <w:tc>
          <w:tcPr>
            <w:tcW w:w="1584" w:type="dxa"/>
            <w:vAlign w:val="center"/>
          </w:tcPr>
          <w:p>
            <w:r>
              <w:t>98.60</w:t>
            </w:r>
          </w:p>
        </w:tc>
        <w:tc>
          <w:tcPr>
            <w:tcW w:w="1131" w:type="dxa"/>
            <w:vAlign w:val="center"/>
          </w:tcPr>
          <w:p>
            <w:r>
              <w:t>0.11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立面4</w:t>
            </w:r>
          </w:p>
        </w:tc>
        <w:tc>
          <w:tcPr>
            <w:tcW w:w="1584" w:type="dxa"/>
            <w:vAlign w:val="center"/>
          </w:tcPr>
          <w:p>
            <w:r>
              <w:t>60.81</w:t>
            </w:r>
          </w:p>
        </w:tc>
        <w:tc>
          <w:tcPr>
            <w:tcW w:w="1584" w:type="dxa"/>
            <w:vAlign w:val="center"/>
          </w:tcPr>
          <w:p>
            <w:r>
              <w:t>115.48</w:t>
            </w:r>
          </w:p>
        </w:tc>
        <w:tc>
          <w:tcPr>
            <w:tcW w:w="1131" w:type="dxa"/>
            <w:vAlign w:val="center"/>
          </w:tcPr>
          <w:p>
            <w:r>
              <w:t>0.53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立面1</w:t>
            </w:r>
          </w:p>
        </w:tc>
        <w:tc>
          <w:tcPr>
            <w:tcW w:w="1584" w:type="dxa"/>
            <w:vAlign w:val="center"/>
          </w:tcPr>
          <w:p>
            <w:r>
              <w:t>126.85</w:t>
            </w:r>
          </w:p>
        </w:tc>
        <w:tc>
          <w:tcPr>
            <w:tcW w:w="1584" w:type="dxa"/>
            <w:vAlign w:val="center"/>
          </w:tcPr>
          <w:p>
            <w:r>
              <w:t>253.00</w:t>
            </w:r>
          </w:p>
        </w:tc>
        <w:tc>
          <w:tcPr>
            <w:tcW w:w="1131" w:type="dxa"/>
            <w:vAlign w:val="center"/>
          </w:tcPr>
          <w:p>
            <w:r>
              <w:t>0.50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立面2</w:t>
            </w:r>
          </w:p>
        </w:tc>
        <w:tc>
          <w:tcPr>
            <w:tcW w:w="1584" w:type="dxa"/>
            <w:vAlign w:val="center"/>
          </w:tcPr>
          <w:p>
            <w:r>
              <w:t>75.25</w:t>
            </w:r>
          </w:p>
        </w:tc>
        <w:tc>
          <w:tcPr>
            <w:tcW w:w="1584" w:type="dxa"/>
            <w:vAlign w:val="center"/>
          </w:tcPr>
          <w:p>
            <w:r>
              <w:t>239.35</w:t>
            </w:r>
          </w:p>
        </w:tc>
        <w:tc>
          <w:tcPr>
            <w:tcW w:w="1131" w:type="dxa"/>
            <w:vAlign w:val="center"/>
          </w:tcPr>
          <w:p>
            <w:r>
              <w:t>0.31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严寒地区甲类公共建筑各单一立面窗墙面积比 (包括透光幕墙 )均不宜大于0.60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154223839"/>
      <w:r>
        <w:rPr>
          <w:color w:val="000000"/>
          <w:kern w:val="2"/>
          <w:szCs w:val="24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10.98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1.80×3.10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5.58</w:t>
            </w:r>
          </w:p>
        </w:tc>
        <w:tc>
          <w:tcPr>
            <w:tcW w:w="1262" w:type="dxa"/>
            <w:vAlign w:val="center"/>
          </w:tcPr>
          <w:p>
            <w:r>
              <w:t>5.58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60.81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8.00×3.00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24.00</w:t>
            </w:r>
          </w:p>
        </w:tc>
        <w:tc>
          <w:tcPr>
            <w:tcW w:w="1262" w:type="dxa"/>
            <w:vAlign w:val="center"/>
          </w:tcPr>
          <w:p>
            <w:r>
              <w:t>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8.00×4.60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36.81</w:t>
            </w:r>
          </w:p>
        </w:tc>
        <w:tc>
          <w:tcPr>
            <w:tcW w:w="1262" w:type="dxa"/>
            <w:vAlign w:val="center"/>
          </w:tcPr>
          <w:p>
            <w:r>
              <w:t>36.81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126.85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3.52×3.00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10.57</w:t>
            </w:r>
          </w:p>
        </w:tc>
        <w:tc>
          <w:tcPr>
            <w:tcW w:w="1262" w:type="dxa"/>
            <w:vAlign w:val="center"/>
          </w:tcPr>
          <w:p>
            <w:r>
              <w:t>21.14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1.50×0.90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2.98×3.00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8.93</w:t>
            </w:r>
          </w:p>
        </w:tc>
        <w:tc>
          <w:tcPr>
            <w:tcW w:w="1262" w:type="dxa"/>
            <w:vAlign w:val="center"/>
          </w:tcPr>
          <w:p>
            <w:r>
              <w:t>8.93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0.98×3.00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2.93</w:t>
            </w:r>
          </w:p>
        </w:tc>
        <w:tc>
          <w:tcPr>
            <w:tcW w:w="1262" w:type="dxa"/>
            <w:vAlign w:val="center"/>
          </w:tcPr>
          <w:p>
            <w:r>
              <w:t>2.93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3.20×3.73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11.93</w:t>
            </w:r>
          </w:p>
        </w:tc>
        <w:tc>
          <w:tcPr>
            <w:tcW w:w="1262" w:type="dxa"/>
            <w:vAlign w:val="center"/>
          </w:tcPr>
          <w:p>
            <w:r>
              <w:t>11.93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3.20×4.59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14.67</w:t>
            </w:r>
          </w:p>
        </w:tc>
        <w:tc>
          <w:tcPr>
            <w:tcW w:w="1262" w:type="dxa"/>
            <w:vAlign w:val="center"/>
          </w:tcPr>
          <w:p>
            <w:r>
              <w:t>14.67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2.00×4.96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9.91</w:t>
            </w:r>
          </w:p>
        </w:tc>
        <w:tc>
          <w:tcPr>
            <w:tcW w:w="1262" w:type="dxa"/>
            <w:vAlign w:val="center"/>
          </w:tcPr>
          <w:p>
            <w:r>
              <w:t>9.91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2.80×4.16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11.64</w:t>
            </w:r>
          </w:p>
        </w:tc>
        <w:tc>
          <w:tcPr>
            <w:tcW w:w="1262" w:type="dxa"/>
            <w:vAlign w:val="center"/>
          </w:tcPr>
          <w:p>
            <w:r>
              <w:t>11.64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2.80×3.30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9.24</w:t>
            </w:r>
          </w:p>
        </w:tc>
        <w:tc>
          <w:tcPr>
            <w:tcW w:w="1262" w:type="dxa"/>
            <w:vAlign w:val="center"/>
          </w:tcPr>
          <w:p>
            <w:r>
              <w:t>9.24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15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33.75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75.25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0.51×3.00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1.52</w:t>
            </w:r>
          </w:p>
        </w:tc>
        <w:tc>
          <w:tcPr>
            <w:tcW w:w="1262" w:type="dxa"/>
            <w:vAlign w:val="center"/>
          </w:tcPr>
          <w:p>
            <w:r>
              <w:t>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1.50×0.90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0.49×3.00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1.48</w:t>
            </w:r>
          </w:p>
        </w:tc>
        <w:tc>
          <w:tcPr>
            <w:tcW w:w="1262" w:type="dxa"/>
            <w:vAlign w:val="center"/>
          </w:tcPr>
          <w:p>
            <w:r>
              <w:t>2.95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4.00×3.00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12.00</w:t>
            </w:r>
          </w:p>
        </w:tc>
        <w:tc>
          <w:tcPr>
            <w:tcW w:w="1262" w:type="dxa"/>
            <w:vAlign w:val="center"/>
          </w:tcPr>
          <w:p>
            <w:r>
              <w:t>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1.60×4.09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6.55</w:t>
            </w:r>
          </w:p>
        </w:tc>
        <w:tc>
          <w:tcPr>
            <w:tcW w:w="1262" w:type="dxa"/>
            <w:vAlign w:val="center"/>
          </w:tcPr>
          <w:p>
            <w:r>
              <w:t>6.55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C3815</w:t>
            </w:r>
          </w:p>
        </w:tc>
        <w:tc>
          <w:tcPr>
            <w:tcW w:w="1386" w:type="dxa"/>
            <w:vAlign w:val="center"/>
          </w:tcPr>
          <w:p>
            <w:r>
              <w:t>3.80×1.50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5.70</w:t>
            </w:r>
          </w:p>
        </w:tc>
        <w:tc>
          <w:tcPr>
            <w:tcW w:w="1262" w:type="dxa"/>
            <w:vAlign w:val="center"/>
          </w:tcPr>
          <w:p>
            <w:r>
              <w:t>28.50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154223840"/>
      <w:r>
        <w:rPr>
          <w:kern w:val="2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立面3</w:t>
            </w:r>
          </w:p>
        </w:tc>
        <w:tc>
          <w:tcPr>
            <w:tcW w:w="1131" w:type="dxa"/>
            <w:vAlign w:val="center"/>
          </w:tcPr>
          <w:p>
            <w:r>
              <w:t>0.11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立面4</w:t>
            </w:r>
          </w:p>
        </w:tc>
        <w:tc>
          <w:tcPr>
            <w:tcW w:w="1131" w:type="dxa"/>
            <w:vAlign w:val="center"/>
          </w:tcPr>
          <w:p>
            <w:r>
              <w:t>0.53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立面1</w:t>
            </w:r>
          </w:p>
        </w:tc>
        <w:tc>
          <w:tcPr>
            <w:tcW w:w="1131" w:type="dxa"/>
            <w:vAlign w:val="center"/>
          </w:tcPr>
          <w:p>
            <w:r>
              <w:t>0.50</w:t>
            </w:r>
          </w:p>
        </w:tc>
        <w:tc>
          <w:tcPr>
            <w:tcW w:w="2088" w:type="dxa"/>
            <w:vAlign w:val="center"/>
          </w:tcPr>
          <w:p>
            <w:r>
              <w:t>C1515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立面2</w:t>
            </w:r>
          </w:p>
        </w:tc>
        <w:tc>
          <w:tcPr>
            <w:tcW w:w="1131" w:type="dxa"/>
            <w:vAlign w:val="center"/>
          </w:tcPr>
          <w:p>
            <w:r>
              <w:t>0.31</w:t>
            </w:r>
          </w:p>
        </w:tc>
        <w:tc>
          <w:tcPr>
            <w:tcW w:w="2088" w:type="dxa"/>
            <w:vAlign w:val="center"/>
          </w:tcPr>
          <w:p>
            <w:r>
              <w:t>C3815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54223841"/>
      <w:r>
        <w:rPr>
          <w:kern w:val="2"/>
        </w:rPr>
        <w:t>天窗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154223842"/>
      <w:r>
        <w:rPr>
          <w:color w:val="000000"/>
          <w:kern w:val="2"/>
          <w:szCs w:val="24"/>
        </w:rPr>
        <w:t>天窗屋顶比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154223843"/>
      <w:r>
        <w:rPr>
          <w:color w:val="000000"/>
          <w:kern w:val="2"/>
          <w:szCs w:val="24"/>
        </w:rPr>
        <w:t>天窗类型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6" w:name="_Toc154223844"/>
      <w:r>
        <w:rPr>
          <w:kern w:val="2"/>
        </w:rPr>
        <w:t>屋顶构造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154223845"/>
      <w:r>
        <w:rPr>
          <w:color w:val="000000"/>
          <w:kern w:val="2"/>
          <w:szCs w:val="24"/>
        </w:rPr>
        <w:t>屋顶构造二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水泥珍珠岩找坡层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0.490</w:t>
            </w:r>
          </w:p>
        </w:tc>
        <w:tc>
          <w:tcPr>
            <w:tcW w:w="1075" w:type="dxa"/>
            <w:vAlign w:val="center"/>
          </w:tcPr>
          <w:p>
            <w:r>
              <w:t>10.408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0.061</w:t>
            </w:r>
          </w:p>
        </w:tc>
        <w:tc>
          <w:tcPr>
            <w:tcW w:w="1064" w:type="dxa"/>
            <w:vAlign w:val="center"/>
          </w:tcPr>
          <w:p>
            <w:r>
              <w:t>0.637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3.030</w:t>
            </w:r>
          </w:p>
        </w:tc>
        <w:tc>
          <w:tcPr>
            <w:tcW w:w="1064" w:type="dxa"/>
            <w:vAlign w:val="center"/>
          </w:tcPr>
          <w:p>
            <w:r>
              <w:t>1.067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3.782</w:t>
            </w:r>
          </w:p>
        </w:tc>
        <w:tc>
          <w:tcPr>
            <w:tcW w:w="1064" w:type="dxa"/>
            <w:vAlign w:val="center"/>
          </w:tcPr>
          <w:p>
            <w:r>
              <w:t>3.450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黑龙江居建节能65%标准第80页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K≤0.28,S≤0.3或K≤0.25,0.3&lt;S≤0.50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8" w:name="_Toc154223846"/>
      <w:r>
        <w:rPr>
          <w:kern w:val="2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154223847"/>
      <w:r>
        <w:rPr>
          <w:color w:val="000000"/>
          <w:kern w:val="2"/>
          <w:szCs w:val="24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外墙构造二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专用饰面砂浆与涂料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玻璃纤维网络布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150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3.571</w:t>
            </w:r>
          </w:p>
        </w:tc>
        <w:tc>
          <w:tcPr>
            <w:tcW w:w="1064" w:type="dxa"/>
            <w:vAlign w:val="center"/>
          </w:tcPr>
          <w:p>
            <w:r>
              <w:t>1.179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0.016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承重混凝土空心砌块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1075" w:type="dxa"/>
            <w:vAlign w:val="center"/>
          </w:tcPr>
          <w:p>
            <w:r>
              <w:t>8.430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0.200</w:t>
            </w:r>
          </w:p>
        </w:tc>
        <w:tc>
          <w:tcPr>
            <w:tcW w:w="1064" w:type="dxa"/>
            <w:vAlign w:val="center"/>
          </w:tcPr>
          <w:p>
            <w:r>
              <w:t>1.686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388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3.812</w:t>
            </w:r>
          </w:p>
        </w:tc>
        <w:tc>
          <w:tcPr>
            <w:tcW w:w="1064" w:type="dxa"/>
            <w:vAlign w:val="center"/>
          </w:tcPr>
          <w:p>
            <w:r>
              <w:t>3.297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黑龙江居住DB23-T120-2001附录D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154223848"/>
      <w:r>
        <w:rPr>
          <w:color w:val="000000"/>
          <w:kern w:val="2"/>
          <w:szCs w:val="24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bookmarkStart w:id="51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2" w:name="_Toc154223849"/>
      <w:r>
        <w:rPr>
          <w:color w:val="000000"/>
          <w:kern w:val="2"/>
          <w:szCs w:val="24"/>
        </w:rPr>
        <w:t>外墙平均热工特性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外墙构造二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87.62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0.25</w:t>
            </w:r>
          </w:p>
        </w:tc>
        <w:tc>
          <w:tcPr>
            <w:tcW w:w="1107" w:type="dxa"/>
            <w:vAlign w:val="center"/>
          </w:tcPr>
          <w:p>
            <w:r>
              <w:t>3.30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0.25 × 1.30 = 0.33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外墙构造二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54.66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0.25</w:t>
            </w:r>
          </w:p>
        </w:tc>
        <w:tc>
          <w:tcPr>
            <w:tcW w:w="1107" w:type="dxa"/>
            <w:vAlign w:val="center"/>
          </w:tcPr>
          <w:p>
            <w:r>
              <w:t>3.30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0.25 × 1.30 = 0.33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外墙构造二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104.10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0.25</w:t>
            </w:r>
          </w:p>
        </w:tc>
        <w:tc>
          <w:tcPr>
            <w:tcW w:w="1107" w:type="dxa"/>
            <w:vAlign w:val="center"/>
          </w:tcPr>
          <w:p>
            <w:r>
              <w:t>3.30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0.25 × 1.30 = 0.33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外墙构造二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135.75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0.25</w:t>
            </w:r>
          </w:p>
        </w:tc>
        <w:tc>
          <w:tcPr>
            <w:tcW w:w="1107" w:type="dxa"/>
            <w:vAlign w:val="center"/>
          </w:tcPr>
          <w:p>
            <w:r>
              <w:t>3.30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0.25 × 1.30 = 0.33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外墙构造二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382.13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0.25</w:t>
            </w:r>
          </w:p>
        </w:tc>
        <w:tc>
          <w:tcPr>
            <w:tcW w:w="1107" w:type="dxa"/>
            <w:vAlign w:val="center"/>
          </w:tcPr>
          <w:p>
            <w:r>
              <w:t>3.30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0.25 × 1.30 = 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K≤0.38,S≤0.30或K≤0.35,0.30&lt;S≤0.50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3" w:name="_Toc154223850"/>
      <w:r>
        <w:rPr>
          <w:kern w:val="2"/>
        </w:rPr>
        <w:t>挑空楼板构造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4" w:name="_Toc154223851"/>
      <w:r>
        <w:rPr>
          <w:kern w:val="2"/>
        </w:rPr>
        <w:t>采暖与非采暖隔墙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5" w:name="_Toc154223852"/>
      <w:r>
        <w:rPr>
          <w:kern w:val="2"/>
        </w:rPr>
        <w:t>地下车库与供暖房间之间的楼板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6" w:name="_Toc154223853"/>
      <w:r>
        <w:rPr>
          <w:kern w:val="2"/>
        </w:rPr>
        <w:t>外窗热工</w:t>
      </w:r>
      <w:bookmarkEnd w:id="5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7" w:name="_Toc154223854"/>
      <w:r>
        <w:rPr>
          <w:color w:val="000000"/>
          <w:kern w:val="2"/>
          <w:szCs w:val="24"/>
        </w:rPr>
        <w:t>外窗构造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80系列七腔三密封（5+14Ar+-4+12Ar+5 双银 Low-E+V (0.15) +5）</w:t>
            </w:r>
          </w:p>
        </w:tc>
        <w:tc>
          <w:tcPr>
            <w:tcW w:w="826" w:type="dxa"/>
            <w:vAlign w:val="center"/>
          </w:tcPr>
          <w:p>
            <w:r>
              <w:t>101</w:t>
            </w:r>
          </w:p>
        </w:tc>
        <w:tc>
          <w:tcPr>
            <w:tcW w:w="832" w:type="dxa"/>
            <w:vAlign w:val="center"/>
          </w:tcPr>
          <w:p>
            <w:r>
              <w:t>0.91</w:t>
            </w:r>
          </w:p>
        </w:tc>
        <w:tc>
          <w:tcPr>
            <w:tcW w:w="956" w:type="dxa"/>
            <w:vAlign w:val="center"/>
          </w:tcPr>
          <w:p>
            <w:r>
              <w:t>0.14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黑龙江省居住建筑节能设计标准 DB 23/1270-2019 附录F常用外窗热工性能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100-1400A木窗（塑料）双层窗（平均）</w:t>
            </w:r>
          </w:p>
        </w:tc>
        <w:tc>
          <w:tcPr>
            <w:tcW w:w="826" w:type="dxa"/>
            <w:vAlign w:val="center"/>
          </w:tcPr>
          <w:p>
            <w:r>
              <w:t>107</w:t>
            </w:r>
          </w:p>
        </w:tc>
        <w:tc>
          <w:tcPr>
            <w:tcW w:w="832" w:type="dxa"/>
            <w:vAlign w:val="center"/>
          </w:tcPr>
          <w:p>
            <w:r>
              <w:t>2.30</w:t>
            </w:r>
          </w:p>
        </w:tc>
        <w:tc>
          <w:tcPr>
            <w:tcW w:w="956" w:type="dxa"/>
            <w:vAlign w:val="center"/>
          </w:tcPr>
          <w:p>
            <w:r>
              <w:t>0.57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154223855"/>
      <w:r>
        <w:rPr>
          <w:color w:val="000000"/>
          <w:kern w:val="2"/>
          <w:szCs w:val="24"/>
        </w:rPr>
        <w:t>平均传热系数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10.572</w:t>
            </w:r>
          </w:p>
        </w:tc>
        <w:tc>
          <w:tcPr>
            <w:tcW w:w="1188" w:type="dxa"/>
            <w:vAlign w:val="center"/>
          </w:tcPr>
          <w:p>
            <w:r>
              <w:t>21.144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8.928</w:t>
            </w:r>
          </w:p>
        </w:tc>
        <w:tc>
          <w:tcPr>
            <w:tcW w:w="1188" w:type="dxa"/>
            <w:vAlign w:val="center"/>
          </w:tcPr>
          <w:p>
            <w:r>
              <w:t>8.928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2.928</w:t>
            </w:r>
          </w:p>
        </w:tc>
        <w:tc>
          <w:tcPr>
            <w:tcW w:w="1188" w:type="dxa"/>
            <w:vAlign w:val="center"/>
          </w:tcPr>
          <w:p>
            <w:r>
              <w:t>2.928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11.931</w:t>
            </w:r>
          </w:p>
        </w:tc>
        <w:tc>
          <w:tcPr>
            <w:tcW w:w="1188" w:type="dxa"/>
            <w:vAlign w:val="center"/>
          </w:tcPr>
          <w:p>
            <w:r>
              <w:t>11.931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14.674</w:t>
            </w:r>
          </w:p>
        </w:tc>
        <w:tc>
          <w:tcPr>
            <w:tcW w:w="1188" w:type="dxa"/>
            <w:vAlign w:val="center"/>
          </w:tcPr>
          <w:p>
            <w:r>
              <w:t>14.674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9.914</w:t>
            </w:r>
          </w:p>
        </w:tc>
        <w:tc>
          <w:tcPr>
            <w:tcW w:w="1188" w:type="dxa"/>
            <w:vAlign w:val="center"/>
          </w:tcPr>
          <w:p>
            <w:r>
              <w:t>9.914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11.640</w:t>
            </w:r>
          </w:p>
        </w:tc>
        <w:tc>
          <w:tcPr>
            <w:tcW w:w="1188" w:type="dxa"/>
            <w:vAlign w:val="center"/>
          </w:tcPr>
          <w:p>
            <w:r>
              <w:t>11.640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9.240</w:t>
            </w:r>
          </w:p>
        </w:tc>
        <w:tc>
          <w:tcPr>
            <w:tcW w:w="1188" w:type="dxa"/>
            <w:vAlign w:val="center"/>
          </w:tcPr>
          <w:p>
            <w:r>
              <w:t>9.240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33.750</w:t>
            </w:r>
          </w:p>
        </w:tc>
        <w:tc>
          <w:tcPr>
            <w:tcW w:w="1188" w:type="dxa"/>
            <w:vAlign w:val="center"/>
          </w:tcPr>
          <w:p>
            <w:r>
              <w:t>107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126.850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1.280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立面2(西向)：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1.524</w:t>
            </w:r>
          </w:p>
        </w:tc>
        <w:tc>
          <w:tcPr>
            <w:tcW w:w="1188" w:type="dxa"/>
            <w:vAlign w:val="center"/>
          </w:tcPr>
          <w:p>
            <w:r>
              <w:t>3.048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1.476</w:t>
            </w:r>
          </w:p>
        </w:tc>
        <w:tc>
          <w:tcPr>
            <w:tcW w:w="1188" w:type="dxa"/>
            <w:vAlign w:val="center"/>
          </w:tcPr>
          <w:p>
            <w:r>
              <w:t>2.952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4.800</w:t>
            </w:r>
          </w:p>
        </w:tc>
        <w:tc>
          <w:tcPr>
            <w:tcW w:w="1188" w:type="dxa"/>
            <w:vAlign w:val="center"/>
          </w:tcPr>
          <w:p>
            <w:r>
              <w:t>4.800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12.000</w:t>
            </w:r>
          </w:p>
        </w:tc>
        <w:tc>
          <w:tcPr>
            <w:tcW w:w="1188" w:type="dxa"/>
            <w:vAlign w:val="center"/>
          </w:tcPr>
          <w:p>
            <w:r>
              <w:t>24.000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6.548</w:t>
            </w:r>
          </w:p>
        </w:tc>
        <w:tc>
          <w:tcPr>
            <w:tcW w:w="1188" w:type="dxa"/>
            <w:vAlign w:val="center"/>
          </w:tcPr>
          <w:p>
            <w:r>
              <w:t>6.548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C3815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5.700</w:t>
            </w:r>
          </w:p>
        </w:tc>
        <w:tc>
          <w:tcPr>
            <w:tcW w:w="1188" w:type="dxa"/>
            <w:vAlign w:val="center"/>
          </w:tcPr>
          <w:p>
            <w:r>
              <w:t>28.500</w:t>
            </w:r>
          </w:p>
        </w:tc>
        <w:tc>
          <w:tcPr>
            <w:tcW w:w="1188" w:type="dxa"/>
            <w:vAlign w:val="center"/>
          </w:tcPr>
          <w:p>
            <w:r>
              <w:t>107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75.248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1.436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立面3(南向)：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5.580</w:t>
            </w:r>
          </w:p>
        </w:tc>
        <w:tc>
          <w:tcPr>
            <w:tcW w:w="1188" w:type="dxa"/>
            <w:vAlign w:val="center"/>
          </w:tcPr>
          <w:p>
            <w:r>
              <w:t>5.580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10.980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24.000</w:t>
            </w:r>
          </w:p>
        </w:tc>
        <w:tc>
          <w:tcPr>
            <w:tcW w:w="1188" w:type="dxa"/>
            <w:vAlign w:val="center"/>
          </w:tcPr>
          <w:p>
            <w:r>
              <w:t>24.000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36.813</w:t>
            </w:r>
          </w:p>
        </w:tc>
        <w:tc>
          <w:tcPr>
            <w:tcW w:w="1188" w:type="dxa"/>
            <w:vAlign w:val="center"/>
          </w:tcPr>
          <w:p>
            <w:r>
              <w:t>36.813</w:t>
            </w:r>
          </w:p>
        </w:tc>
        <w:tc>
          <w:tcPr>
            <w:tcW w:w="1188" w:type="dxa"/>
            <w:vAlign w:val="center"/>
          </w:tcPr>
          <w:p>
            <w:r>
              <w:t>101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60.813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0.910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154223856"/>
      <w:r>
        <w:rPr>
          <w:color w:val="000000"/>
          <w:kern w:val="2"/>
          <w:szCs w:val="24"/>
        </w:rPr>
        <w:t>总体热工性能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立面3</w:t>
            </w:r>
          </w:p>
        </w:tc>
        <w:tc>
          <w:tcPr>
            <w:tcW w:w="1018" w:type="dxa"/>
            <w:vAlign w:val="center"/>
          </w:tcPr>
          <w:p>
            <w:r>
              <w:t>10.98</w:t>
            </w:r>
          </w:p>
        </w:tc>
        <w:tc>
          <w:tcPr>
            <w:tcW w:w="1131" w:type="dxa"/>
            <w:vAlign w:val="center"/>
          </w:tcPr>
          <w:p>
            <w:r>
              <w:t>0.91</w:t>
            </w:r>
          </w:p>
        </w:tc>
        <w:tc>
          <w:tcPr>
            <w:tcW w:w="1245" w:type="dxa"/>
            <w:vAlign w:val="center"/>
          </w:tcPr>
          <w:p>
            <w:r>
              <w:t>0.14</w:t>
            </w:r>
          </w:p>
        </w:tc>
        <w:tc>
          <w:tcPr>
            <w:tcW w:w="1075" w:type="dxa"/>
            <w:vAlign w:val="center"/>
          </w:tcPr>
          <w:p>
            <w:r>
              <w:t>0.11</w:t>
            </w:r>
          </w:p>
        </w:tc>
        <w:tc>
          <w:tcPr>
            <w:tcW w:w="1465" w:type="dxa"/>
            <w:vAlign w:val="center"/>
          </w:tcPr>
          <w:p>
            <w:r>
              <w:t>K≤2.50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立面4</w:t>
            </w:r>
          </w:p>
        </w:tc>
        <w:tc>
          <w:tcPr>
            <w:tcW w:w="1018" w:type="dxa"/>
            <w:vAlign w:val="center"/>
          </w:tcPr>
          <w:p>
            <w:r>
              <w:t>60.81</w:t>
            </w:r>
          </w:p>
        </w:tc>
        <w:tc>
          <w:tcPr>
            <w:tcW w:w="1131" w:type="dxa"/>
            <w:vAlign w:val="center"/>
          </w:tcPr>
          <w:p>
            <w:r>
              <w:t>0.91</w:t>
            </w:r>
          </w:p>
        </w:tc>
        <w:tc>
          <w:tcPr>
            <w:tcW w:w="1245" w:type="dxa"/>
            <w:vAlign w:val="center"/>
          </w:tcPr>
          <w:p>
            <w:r>
              <w:t>0.14</w:t>
            </w:r>
          </w:p>
        </w:tc>
        <w:tc>
          <w:tcPr>
            <w:tcW w:w="1075" w:type="dxa"/>
            <w:vAlign w:val="center"/>
          </w:tcPr>
          <w:p>
            <w:r>
              <w:t>0.53</w:t>
            </w:r>
          </w:p>
        </w:tc>
        <w:tc>
          <w:tcPr>
            <w:tcW w:w="1465" w:type="dxa"/>
            <w:vAlign w:val="center"/>
          </w:tcPr>
          <w:p>
            <w:r>
              <w:t>K≤1.40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立面1</w:t>
            </w:r>
          </w:p>
        </w:tc>
        <w:tc>
          <w:tcPr>
            <w:tcW w:w="1018" w:type="dxa"/>
            <w:vAlign w:val="center"/>
          </w:tcPr>
          <w:p>
            <w:r>
              <w:t>126.85</w:t>
            </w:r>
          </w:p>
        </w:tc>
        <w:tc>
          <w:tcPr>
            <w:tcW w:w="1131" w:type="dxa"/>
            <w:vAlign w:val="center"/>
          </w:tcPr>
          <w:p>
            <w:r>
              <w:t>1.28</w:t>
            </w:r>
          </w:p>
        </w:tc>
        <w:tc>
          <w:tcPr>
            <w:tcW w:w="1245" w:type="dxa"/>
            <w:vAlign w:val="center"/>
          </w:tcPr>
          <w:p>
            <w:r>
              <w:t>0.25</w:t>
            </w:r>
          </w:p>
        </w:tc>
        <w:tc>
          <w:tcPr>
            <w:tcW w:w="1075" w:type="dxa"/>
            <w:vAlign w:val="center"/>
          </w:tcPr>
          <w:p>
            <w:r>
              <w:t>0.50</w:t>
            </w:r>
          </w:p>
        </w:tc>
        <w:tc>
          <w:tcPr>
            <w:tcW w:w="1465" w:type="dxa"/>
            <w:vAlign w:val="center"/>
          </w:tcPr>
          <w:p>
            <w:r>
              <w:t>K≤1.70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立面2</w:t>
            </w:r>
          </w:p>
        </w:tc>
        <w:tc>
          <w:tcPr>
            <w:tcW w:w="1018" w:type="dxa"/>
            <w:vAlign w:val="center"/>
          </w:tcPr>
          <w:p>
            <w:r>
              <w:t>75.25</w:t>
            </w:r>
          </w:p>
        </w:tc>
        <w:tc>
          <w:tcPr>
            <w:tcW w:w="1131" w:type="dxa"/>
            <w:vAlign w:val="center"/>
          </w:tcPr>
          <w:p>
            <w:r>
              <w:t>1.44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075" w:type="dxa"/>
            <w:vAlign w:val="center"/>
          </w:tcPr>
          <w:p>
            <w:r>
              <w:t>0.31</w:t>
            </w:r>
          </w:p>
        </w:tc>
        <w:tc>
          <w:tcPr>
            <w:tcW w:w="1465" w:type="dxa"/>
            <w:vAlign w:val="center"/>
          </w:tcPr>
          <w:p>
            <w:r>
              <w:t>K≤2.00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273.89</w:t>
            </w:r>
          </w:p>
        </w:tc>
        <w:tc>
          <w:tcPr>
            <w:tcW w:w="1131" w:type="dxa"/>
            <w:vAlign w:val="center"/>
          </w:tcPr>
          <w:p>
            <w:r>
              <w:t>1.23</w:t>
            </w:r>
          </w:p>
        </w:tc>
        <w:tc>
          <w:tcPr>
            <w:tcW w:w="1245" w:type="dxa"/>
            <w:vAlign w:val="center"/>
          </w:tcPr>
          <w:p>
            <w:r>
              <w:t>0.24</w:t>
            </w:r>
          </w:p>
        </w:tc>
        <w:tc>
          <w:tcPr>
            <w:tcW w:w="1075" w:type="dxa"/>
            <w:vAlign w:val="center"/>
          </w:tcPr>
          <w:p>
            <w:r>
              <w:t>0.39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外窗传热系数应满足表3.3.1-1的要求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60" w:name="_Toc154223857"/>
      <w:r>
        <w:rPr>
          <w:kern w:val="2"/>
        </w:rPr>
        <w:t>周边地面构造</w:t>
      </w:r>
      <w:bookmarkEnd w:id="60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1" w:name="_Toc154223858"/>
      <w:r>
        <w:rPr>
          <w:color w:val="000000"/>
          <w:kern w:val="2"/>
          <w:szCs w:val="24"/>
        </w:rPr>
        <w:t>周边地面构造二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4.800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0.013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0.810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10.070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0.025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4.128</w:t>
            </w:r>
          </w:p>
        </w:tc>
        <w:tc>
          <w:tcPr>
            <w:tcW w:w="1064" w:type="dxa"/>
            <w:vAlign w:val="center"/>
          </w:tcPr>
          <w:p>
            <w:r>
              <w:t>6.683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R≥1.1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2" w:name="_Toc154223859"/>
      <w:r>
        <w:rPr>
          <w:kern w:val="2"/>
        </w:rPr>
        <w:t>采暖地下室外墙构造</w:t>
      </w:r>
      <w:bookmarkEnd w:id="6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3" w:name="_Toc154223860"/>
      <w:r>
        <w:rPr>
          <w:kern w:val="2"/>
        </w:rPr>
        <w:t>变形缝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4" w:name="_Toc154223861"/>
      <w:r>
        <w:rPr>
          <w:kern w:val="2"/>
        </w:rPr>
        <w:t>有效通风换气面积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Align w:val="center"/>
          </w:tcPr>
          <w:p>
            <w:r>
              <w:t>1003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55.32</w:t>
            </w:r>
          </w:p>
        </w:tc>
        <w:tc>
          <w:tcPr>
            <w:tcW w:w="735" w:type="dxa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55.32</w:t>
            </w:r>
          </w:p>
        </w:tc>
        <w:tc>
          <w:tcPr>
            <w:tcW w:w="735" w:type="dxa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55.32</w:t>
            </w:r>
          </w:p>
        </w:tc>
        <w:tc>
          <w:tcPr>
            <w:tcW w:w="735" w:type="dxa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56.44</w:t>
            </w:r>
          </w:p>
        </w:tc>
        <w:tc>
          <w:tcPr>
            <w:tcW w:w="735" w:type="dxa"/>
            <w:vAlign w:val="center"/>
          </w:tcPr>
          <w:p>
            <w:r>
              <w:t>61.20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55.32</w:t>
            </w:r>
          </w:p>
        </w:tc>
        <w:tc>
          <w:tcPr>
            <w:tcW w:w="735" w:type="dxa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962" w:type="dxa"/>
            <w:vAlign w:val="center"/>
          </w:tcPr>
          <w:p>
            <w:r>
              <w:t>2006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41.72</w:t>
            </w:r>
          </w:p>
        </w:tc>
        <w:tc>
          <w:tcPr>
            <w:tcW w:w="735" w:type="dxa"/>
            <w:vAlign w:val="center"/>
          </w:tcPr>
          <w:p>
            <w:r>
              <w:t>46.05</w:t>
            </w:r>
          </w:p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11.94</w:t>
            </w:r>
          </w:p>
        </w:tc>
        <w:tc>
          <w:tcPr>
            <w:tcW w:w="735" w:type="dxa"/>
            <w:vAlign w:val="center"/>
          </w:tcPr>
          <w:p>
            <w:r>
              <w:t>8.40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11.94</w:t>
            </w:r>
          </w:p>
        </w:tc>
        <w:tc>
          <w:tcPr>
            <w:tcW w:w="735" w:type="dxa"/>
            <w:vAlign w:val="center"/>
          </w:tcPr>
          <w:p>
            <w:r>
              <w:t>8.40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11.94</w:t>
            </w:r>
          </w:p>
        </w:tc>
        <w:tc>
          <w:tcPr>
            <w:tcW w:w="735" w:type="dxa"/>
            <w:vAlign w:val="center"/>
          </w:tcPr>
          <w:p>
            <w:r>
              <w:t>8.40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11.94</w:t>
            </w:r>
          </w:p>
        </w:tc>
        <w:tc>
          <w:tcPr>
            <w:tcW w:w="735" w:type="dxa"/>
            <w:vAlign w:val="center"/>
          </w:tcPr>
          <w:p>
            <w:r>
              <w:t>8.40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11.94</w:t>
            </w:r>
          </w:p>
        </w:tc>
        <w:tc>
          <w:tcPr>
            <w:tcW w:w="735" w:type="dxa"/>
            <w:vAlign w:val="center"/>
          </w:tcPr>
          <w:p>
            <w:r>
              <w:t>8.40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3.22</w:t>
            </w:r>
          </w:p>
        </w:tc>
        <w:tc>
          <w:tcPr>
            <w:tcW w:w="735" w:type="dxa"/>
            <w:vAlign w:val="center"/>
          </w:tcPr>
          <w:p>
            <w:r>
              <w:t>11.55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5" w:name="_Toc154223862"/>
      <w:r>
        <w:rPr>
          <w:kern w:val="2"/>
        </w:rPr>
        <w:t>非中空窗面积比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10.98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60.81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126.85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75.25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6" w:name="_Toc154223863"/>
      <w:r>
        <w:rPr>
          <w:kern w:val="2"/>
        </w:rPr>
        <w:t>外窗气密性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7" w:name="_Toc154223864"/>
      <w:r>
        <w:rPr>
          <w:kern w:val="2"/>
        </w:rPr>
        <w:t>外门气密性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8" w:name="_Toc154223865"/>
      <w:r>
        <w:rPr>
          <w:kern w:val="2"/>
        </w:rPr>
        <w:t>幕墙气密性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9" w:name="_Toc154223866"/>
      <w:r>
        <w:rPr>
          <w:kern w:val="2"/>
        </w:rPr>
        <w:t>规定性指标检查结论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适宜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周边地面构造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外门气密性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zMGU1YzA2OGFmOTk4NDQ5MDJiYWZlYzI1MjVmYjQifQ=="/>
  </w:docVars>
  <w:rsids>
    <w:rsidRoot w:val="002B21B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B21B2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35292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14B5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09A4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17</Pages>
  <Words>1862</Words>
  <Characters>10619</Characters>
  <Lines>88</Lines>
  <Paragraphs>24</Paragraphs>
  <TotalTime>1</TotalTime>
  <ScaleCrop>false</ScaleCrop>
  <LinksUpToDate>false</LinksUpToDate>
  <CharactersWithSpaces>12457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2023-12-23T03:36:00Z</dcterms:created>
  <dc:creator>MR</dc:creator>
  <cp:lastModifiedBy>王孜硕</cp:lastModifiedBy>
  <cp:lastPrinted>2411-12-31T16:00:00Z</cp:lastPrinted>
  <dcterms:modified xsi:type="dcterms:W3CDTF">2024-01-01T03:21:36Z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2528D1FF52504A8089D200FC675F8776_12</vt:lpwstr>
  </property>
</Properties>
</file>