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rPr>
              <w:t>炫彩光伏-穆棱水泥厂绿建改造设计</w:t>
            </w:r>
            <w:bookmarkStart w:id="59" w:name="_GoBack"/>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2023年12月23日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T18265483629</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"_Toc154242692"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_Toc154242692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"_Toc154242693"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_Toc154242693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"_Toc154242694"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_Toc154242694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"_Toc154242695"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_Toc154242695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"_Toc154242696"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_Toc154242696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"_Toc154242697"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_Toc154242697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"_Toc154242698"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_Toc154242698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"_Toc154242699"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_Toc154242699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"_Toc154242700"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_Toc154242700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"_Toc154242701"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_Toc154242701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"_Toc154242702"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_Toc154242702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"_Toc154242703"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_Toc154242703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"_Toc154242704"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_Toc154242704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"_Toc154242705"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_Toc154242705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"_Toc154242706"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_Toc154242706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"_Toc154242707"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_Toc154242707 \h </w:instrText>
      </w:r>
      <w:r>
        <w:fldChar w:fldCharType="separate"/>
      </w:r>
      <w:r>
        <w:t>9</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54242692"/>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1058</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9.0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54242693"/>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54242694"/>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154242695"/>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54242696"/>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5pt;width:5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68"/>
      <w:bookmarkStart w:id="28" w:name="_Toc503800603"/>
      <w:bookmarkStart w:id="29" w:name="_Toc154242697"/>
      <w:bookmarkStart w:id="30" w:name="_Toc503275877"/>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pt;width:107.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54242698"/>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54242699"/>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9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54242700"/>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54242701"/>
      <w:r>
        <w:rPr>
          <w:rFonts w:hint="eastAsia"/>
        </w:rPr>
        <w:t>构件空气声隔声性能</w:t>
      </w:r>
      <w:bookmarkEnd w:id="34"/>
    </w:p>
    <w:p>
      <w:pPr>
        <w:pStyle w:val="4"/>
      </w:pPr>
      <w:bookmarkStart w:id="35" w:name="_Toc154242702"/>
      <w:r>
        <w:rPr>
          <w:rFonts w:hint="eastAsia"/>
        </w:rPr>
        <w:t>墙板的空气声隔声量</w:t>
      </w:r>
      <w:bookmarkEnd w:id="35"/>
    </w:p>
    <w:p>
      <w:pPr>
        <w:pStyle w:val="5"/>
      </w:pPr>
      <w:bookmarkStart w:id="36" w:name="_Toc154242703"/>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专用饰面砂浆与涂料</w:t>
            </w:r>
          </w:p>
        </w:tc>
        <w:tc>
          <w:tcPr>
            <w:tcW w:w="990" w:type="dxa"/>
            <w:vAlign w:val="center"/>
          </w:tcPr>
          <w:p>
            <w:pPr>
              <w:jc w:val="center"/>
            </w:pPr>
            <w:r>
              <w:t>10</w:t>
            </w:r>
          </w:p>
        </w:tc>
        <w:tc>
          <w:tcPr>
            <w:tcW w:w="990" w:type="dxa"/>
            <w:vAlign w:val="center"/>
          </w:tcPr>
          <w:p>
            <w:pPr>
              <w:jc w:val="center"/>
            </w:pPr>
            <w:r>
              <w:t>10000</w:t>
            </w:r>
          </w:p>
        </w:tc>
        <w:tc>
          <w:tcPr>
            <w:tcW w:w="990" w:type="dxa"/>
            <w:vAlign w:val="center"/>
          </w:tcPr>
          <w:p>
            <w:pPr>
              <w:jc w:val="center"/>
            </w:pPr>
            <w:r>
              <w:t>100</w:t>
            </w:r>
          </w:p>
        </w:tc>
        <w:tc>
          <w:tcPr>
            <w:tcW w:w="1126" w:type="dxa"/>
            <w:vMerge w:val="restart"/>
            <w:vAlign w:val="center"/>
          </w:tcPr>
          <w:p>
            <w:pPr>
              <w:jc w:val="center"/>
            </w:pPr>
            <w:r>
              <w:t>468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玻璃纤维网络布</w:t>
            </w:r>
          </w:p>
        </w:tc>
        <w:tc>
          <w:tcPr>
            <w:tcW w:w="990" w:type="dxa"/>
            <w:vAlign w:val="center"/>
          </w:tcPr>
          <w:p>
            <w:pPr>
              <w:jc w:val="center"/>
            </w:pPr>
            <w:r>
              <w:t>3</w:t>
            </w:r>
          </w:p>
        </w:tc>
        <w:tc>
          <w:tcPr>
            <w:tcW w:w="990" w:type="dxa"/>
            <w:vAlign w:val="center"/>
          </w:tcPr>
          <w:p>
            <w:pPr>
              <w:jc w:val="center"/>
            </w:pPr>
            <w:r>
              <w:t>10000</w:t>
            </w:r>
          </w:p>
        </w:tc>
        <w:tc>
          <w:tcPr>
            <w:tcW w:w="990" w:type="dxa"/>
            <w:vAlign w:val="center"/>
          </w:tcPr>
          <w:p>
            <w:pPr>
              <w:jc w:val="center"/>
            </w:pPr>
            <w:r>
              <w:t>30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聚苯板</w:t>
            </w:r>
          </w:p>
        </w:tc>
        <w:tc>
          <w:tcPr>
            <w:tcW w:w="990" w:type="dxa"/>
            <w:vAlign w:val="center"/>
          </w:tcPr>
          <w:p>
            <w:pPr>
              <w:jc w:val="center"/>
            </w:pPr>
            <w:r>
              <w:t>150</w:t>
            </w:r>
          </w:p>
        </w:tc>
        <w:tc>
          <w:tcPr>
            <w:tcW w:w="990" w:type="dxa"/>
            <w:vAlign w:val="center"/>
          </w:tcPr>
          <w:p>
            <w:pPr>
              <w:jc w:val="center"/>
            </w:pPr>
            <w:r>
              <w:t>20</w:t>
            </w:r>
          </w:p>
        </w:tc>
        <w:tc>
          <w:tcPr>
            <w:tcW w:w="990" w:type="dxa"/>
            <w:vAlign w:val="center"/>
          </w:tcPr>
          <w:p>
            <w:pPr>
              <w:jc w:val="center"/>
            </w:pPr>
            <w:r>
              <w:t>3</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15</w:t>
            </w:r>
          </w:p>
        </w:tc>
        <w:tc>
          <w:tcPr>
            <w:tcW w:w="990" w:type="dxa"/>
            <w:vAlign w:val="center"/>
          </w:tcPr>
          <w:p>
            <w:pPr>
              <w:jc w:val="center"/>
            </w:pPr>
            <w:r>
              <w:t>1800</w:t>
            </w:r>
          </w:p>
        </w:tc>
        <w:tc>
          <w:tcPr>
            <w:tcW w:w="990" w:type="dxa"/>
            <w:vAlign w:val="center"/>
          </w:tcPr>
          <w:p>
            <w:pPr>
              <w:jc w:val="center"/>
            </w:pPr>
            <w:r>
              <w:t>27</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承重混凝土空心砌块</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水泥珍珠岩找坡层</w:t>
            </w:r>
          </w:p>
        </w:tc>
        <w:tc>
          <w:tcPr>
            <w:tcW w:w="990" w:type="dxa"/>
            <w:vAlign w:val="center"/>
          </w:tcPr>
          <w:p>
            <w:pPr>
              <w:jc w:val="center"/>
            </w:pPr>
            <w:r>
              <w:t>30</w:t>
            </w:r>
          </w:p>
        </w:tc>
        <w:tc>
          <w:tcPr>
            <w:tcW w:w="990" w:type="dxa"/>
            <w:vAlign w:val="center"/>
          </w:tcPr>
          <w:p>
            <w:pPr>
              <w:jc w:val="center"/>
            </w:pPr>
            <w:r>
              <w:t>1600</w:t>
            </w:r>
          </w:p>
        </w:tc>
        <w:tc>
          <w:tcPr>
            <w:tcW w:w="990" w:type="dxa"/>
            <w:vAlign w:val="center"/>
          </w:tcPr>
          <w:p>
            <w:pPr>
              <w:jc w:val="center"/>
            </w:pPr>
            <w:r>
              <w:t>48</w:t>
            </w:r>
          </w:p>
        </w:tc>
        <w:tc>
          <w:tcPr>
            <w:tcW w:w="1126" w:type="dxa"/>
            <w:vMerge w:val="restart"/>
            <w:vAlign w:val="center"/>
          </w:tcPr>
          <w:p>
            <w:pPr>
              <w:jc w:val="center"/>
            </w:pPr>
            <w:r>
              <w:t>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酚醛泡沫板（用于墙体）</w:t>
            </w:r>
          </w:p>
        </w:tc>
        <w:tc>
          <w:tcPr>
            <w:tcW w:w="990" w:type="dxa"/>
            <w:vAlign w:val="center"/>
          </w:tcPr>
          <w:p>
            <w:pPr>
              <w:jc w:val="center"/>
            </w:pPr>
            <w:r>
              <w:t>20</w:t>
            </w:r>
          </w:p>
        </w:tc>
        <w:tc>
          <w:tcPr>
            <w:tcW w:w="990" w:type="dxa"/>
            <w:vAlign w:val="center"/>
          </w:tcPr>
          <w:p>
            <w:pPr>
              <w:jc w:val="center"/>
            </w:pPr>
            <w:r>
              <w:t>60</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100</w:t>
            </w:r>
          </w:p>
        </w:tc>
        <w:tc>
          <w:tcPr>
            <w:tcW w:w="990" w:type="dxa"/>
            <w:vAlign w:val="center"/>
          </w:tcPr>
          <w:p>
            <w:pPr>
              <w:jc w:val="center"/>
            </w:pPr>
            <w:r>
              <w:t>29</w:t>
            </w:r>
          </w:p>
        </w:tc>
        <w:tc>
          <w:tcPr>
            <w:tcW w:w="990" w:type="dxa"/>
            <w:vAlign w:val="center"/>
          </w:tcPr>
          <w:p>
            <w:pPr>
              <w:jc w:val="center"/>
            </w:pPr>
            <w:r>
              <w:t>3</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100</w:t>
            </w:r>
          </w:p>
        </w:tc>
        <w:tc>
          <w:tcPr>
            <w:tcW w:w="990" w:type="dxa"/>
            <w:vAlign w:val="center"/>
          </w:tcPr>
          <w:p>
            <w:pPr>
              <w:jc w:val="center"/>
            </w:pPr>
            <w:r>
              <w:t>2500</w:t>
            </w:r>
          </w:p>
        </w:tc>
        <w:tc>
          <w:tcPr>
            <w:tcW w:w="990" w:type="dxa"/>
            <w:vAlign w:val="center"/>
          </w:tcPr>
          <w:p>
            <w:pPr>
              <w:jc w:val="center"/>
            </w:pPr>
            <w:r>
              <w:t>250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石灰水泥砂浆（混合砂浆）</w:t>
            </w:r>
          </w:p>
        </w:tc>
        <w:tc>
          <w:tcPr>
            <w:tcW w:w="990" w:type="dxa"/>
            <w:vAlign w:val="center"/>
          </w:tcPr>
          <w:p>
            <w:pPr>
              <w:jc w:val="center"/>
            </w:pPr>
            <w:r>
              <w:t>20</w:t>
            </w:r>
          </w:p>
        </w:tc>
        <w:tc>
          <w:tcPr>
            <w:tcW w:w="990" w:type="dxa"/>
            <w:vAlign w:val="center"/>
          </w:tcPr>
          <w:p>
            <w:pPr>
              <w:jc w:val="center"/>
            </w:pPr>
            <w:r>
              <w:t>1700</w:t>
            </w:r>
          </w:p>
        </w:tc>
        <w:tc>
          <w:tcPr>
            <w:tcW w:w="990" w:type="dxa"/>
            <w:vAlign w:val="center"/>
          </w:tcPr>
          <w:p>
            <w:pPr>
              <w:jc w:val="center"/>
            </w:pPr>
            <w:r>
              <w:t>34</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54242704"/>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5" w:name="墙板空气声隔声量"/>
      <w:bookmarkEnd w:id="45"/>
      <w:r>
        <w:rPr>
          <w:rFonts w:ascii="宋体" w:hAnsi="宋体" w:eastAsia="宋体"/>
          <w:kern w:val="0"/>
          <w:sz w:val="21"/>
          <w:szCs w:val="21"/>
        </w:rPr>
        <w:t>本工程无此项评价</w:t>
      </w:r>
    </w:p>
    <w:p>
      <w:pPr>
        <w:pStyle w:val="3"/>
        <w:rPr>
          <w:lang w:val="en-US"/>
        </w:rPr>
      </w:pPr>
    </w:p>
    <w:p>
      <w:pPr>
        <w:pStyle w:val="4"/>
      </w:pPr>
      <w:bookmarkStart w:id="46" w:name="_Toc154242705"/>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7" w:name="门窗空气声隔声量"/>
      <w:bookmarkEnd w:id="47"/>
      <w:r>
        <w:rPr>
          <w:rFonts w:ascii="宋体" w:hAnsi="宋体" w:eastAsia="宋体"/>
          <w:kern w:val="0"/>
          <w:sz w:val="21"/>
          <w:szCs w:val="21"/>
        </w:rPr>
        <w:t>本工程无此项评价</w:t>
      </w:r>
    </w:p>
    <w:p>
      <w:pPr>
        <w:pStyle w:val="2"/>
        <w:ind w:left="669" w:hanging="669"/>
      </w:pPr>
      <w:bookmarkStart w:id="48" w:name="_Toc154242706"/>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9" w:name="撞击声隔声"/>
      <w:bookmarkEnd w:id="49"/>
      <w:r>
        <w:rPr>
          <w:lang w:val="en-US"/>
        </w:rPr>
        <w:t>本工程无此项评价</w:t>
      </w:r>
    </w:p>
    <w:bookmarkEnd w:id="25"/>
    <w:p>
      <w:pPr>
        <w:pStyle w:val="2"/>
        <w:ind w:left="669" w:hanging="669"/>
        <w:rPr>
          <w:kern w:val="2"/>
        </w:rPr>
      </w:pPr>
      <w:bookmarkStart w:id="50" w:name="_Toc154242707"/>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p>
      <w:bookmarkStart w:id="51" w:name="构件隔声性能统计"/>
      <w:bookmarkEnd w:id="51"/>
      <w:r>
        <w:t>本工程无此项评价</w:t>
      </w:r>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2" w:name="撞击声隔声性能统计"/>
      <w:bookmarkEnd w:id="52"/>
      <w:r>
        <w:t>本工程无此项评价</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空气声控制项结论"/>
            <w:r>
              <w:rPr>
                <w:rFonts w:hint="eastAsia"/>
                <w:b/>
                <w:bCs/>
                <w:lang w:val="en-US"/>
              </w:rPr>
              <w:t>本工程无此项评价</w:t>
            </w:r>
            <w:bookmarkEnd w:id="53"/>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4" w:name="空气声评分项结论"/>
            <w:r>
              <w:rPr>
                <w:rFonts w:hint="eastAsia"/>
                <w:b/>
                <w:bCs/>
                <w:lang w:val="en-US"/>
              </w:rPr>
              <w:t>本工程无此项评价</w:t>
            </w:r>
            <w:bookmarkEnd w:id="54"/>
          </w:p>
        </w:tc>
        <w:tc>
          <w:tcPr>
            <w:tcW w:w="737" w:type="dxa"/>
            <w:vAlign w:val="center"/>
          </w:tcPr>
          <w:p>
            <w:pPr>
              <w:jc w:val="center"/>
              <w:rPr>
                <w:b/>
                <w:bCs/>
                <w:lang w:val="en-US"/>
              </w:rPr>
            </w:pPr>
            <w:bookmarkStart w:id="55" w:name="空气声得分"/>
            <w:r>
              <w:rPr>
                <w:rFonts w:hint="eastAsia"/>
                <w:b/>
                <w:bCs/>
                <w:lang w:val="en-US"/>
              </w:rPr>
              <w:t>--</w:t>
            </w:r>
            <w:bookmarkEnd w:id="55"/>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6" w:name="撞击声控制项结论"/>
            <w:r>
              <w:rPr>
                <w:rFonts w:hint="eastAsia"/>
                <w:b/>
                <w:bCs/>
                <w:lang w:val="en-US"/>
              </w:rPr>
              <w:t>本工程无此项评价</w:t>
            </w:r>
            <w:bookmarkEnd w:id="56"/>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7" w:name="撞击声评分项结论"/>
            <w:r>
              <w:rPr>
                <w:rFonts w:hint="eastAsia"/>
                <w:b/>
                <w:bCs/>
                <w:lang w:val="en-US"/>
              </w:rPr>
              <w:t>本工程无此项评价</w:t>
            </w:r>
            <w:bookmarkEnd w:id="57"/>
          </w:p>
        </w:tc>
        <w:tc>
          <w:tcPr>
            <w:tcW w:w="737" w:type="dxa"/>
            <w:vAlign w:val="center"/>
          </w:tcPr>
          <w:p>
            <w:pPr>
              <w:jc w:val="center"/>
              <w:rPr>
                <w:b/>
                <w:bCs/>
                <w:lang w:val="en-US"/>
              </w:rPr>
            </w:pPr>
            <w:bookmarkStart w:id="58" w:name="撞击声得分"/>
            <w:r>
              <w:rPr>
                <w:rFonts w:hint="eastAsia"/>
                <w:b/>
                <w:bCs/>
                <w:lang w:val="en-US"/>
              </w:rPr>
              <w:t>--</w:t>
            </w:r>
            <w:bookmarkEnd w:id="58"/>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MGU1YzA2OGFmOTk4NDQ5MDJiYWZlYzI1MjVmYjQifQ=="/>
  </w:docVars>
  <w:rsids>
    <w:rsidRoot w:val="000F36E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36E8"/>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48A"/>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3EEF"/>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100C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autoRedefine/>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autoRedefine/>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autoRedefine/>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autoRedefine/>
    <w:qFormat/>
    <w:uiPriority w:val="99"/>
    <w:rPr>
      <w:sz w:val="24"/>
    </w:rPr>
  </w:style>
  <w:style w:type="paragraph" w:customStyle="1" w:styleId="38">
    <w:name w:val="条文"/>
    <w:basedOn w:val="1"/>
    <w:link w:val="37"/>
    <w:autoRedefine/>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tmp14</Template>
  <Company>ths</Company>
  <Pages>10</Pages>
  <Words>1003</Words>
  <Characters>5721</Characters>
  <Lines>47</Lines>
  <Paragraphs>13</Paragraphs>
  <TotalTime>0</TotalTime>
  <ScaleCrop>false</ScaleCrop>
  <LinksUpToDate>false</LinksUpToDate>
  <CharactersWithSpaces>6711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2023-12-23T08:51:00Z</dcterms:created>
  <dc:creator>wangzishuo</dc:creator>
  <cp:lastModifiedBy>王孜硕</cp:lastModifiedBy>
  <cp:lastPrinted>1900-12-31T16:00:00Z</cp:lastPrinted>
  <dcterms:modified xsi:type="dcterms:W3CDTF">2024-01-01T03:20:17Z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AD8AB384660B445D8A35A74C6B71F3D5_12</vt:lpwstr>
  </property>
</Properties>
</file>