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炫彩光伏-穆棱水泥厂绿建改造设计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4" w:name="地理位置"/>
            <w:r>
              <w:t>黑龙江-</w:t>
            </w:r>
            <w:bookmarkEnd w:id="4"/>
            <w:r>
              <w:rPr>
                <w:rFonts w:hint="eastAsia"/>
                <w:lang w:val="en-US" w:eastAsia="zh-CN"/>
              </w:rPr>
              <w:t>牡丹江</w:t>
            </w:r>
            <w:bookmarkStart w:id="70" w:name="_GoBack"/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2023年12月28日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"_Toc154677756"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_Toc154677756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"_Toc154677757"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_Toc154677757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"_Toc154677758"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建筑大样</w:t>
      </w:r>
      <w:r>
        <w:tab/>
      </w:r>
      <w:r>
        <w:fldChar w:fldCharType="begin"/>
      </w:r>
      <w:r>
        <w:instrText xml:space="preserve"> PAGEREF _Toc154677758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"_Toc154677759"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规定性指标检查</w:t>
      </w:r>
      <w:r>
        <w:tab/>
      </w:r>
      <w:r>
        <w:fldChar w:fldCharType="begin"/>
      </w:r>
      <w:r>
        <w:instrText xml:space="preserve"> PAGEREF _Toc154677759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"_Toc154677760"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_Toc154677760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"_Toc154677761"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围护结构作法简要说明</w:t>
      </w:r>
      <w:r>
        <w:tab/>
      </w:r>
      <w:r>
        <w:fldChar w:fldCharType="begin"/>
      </w:r>
      <w:r>
        <w:instrText xml:space="preserve"> PAGEREF _Toc154677761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"_Toc154677762"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体形系数</w:t>
      </w:r>
      <w:r>
        <w:tab/>
      </w:r>
      <w:r>
        <w:fldChar w:fldCharType="begin"/>
      </w:r>
      <w:r>
        <w:instrText xml:space="preserve"> PAGEREF _Toc154677762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"_Toc154677763"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_Toc154677763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"_Toc154677764"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_Toc154677764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"_Toc154677765" </w:instrText>
      </w:r>
      <w:r>
        <w:fldChar w:fldCharType="separate"/>
      </w:r>
      <w:r>
        <w:rPr>
          <w:rStyle w:val="21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_Toc154677765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"_Toc154677766"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可见光透射比</w:t>
      </w:r>
      <w:r>
        <w:tab/>
      </w:r>
      <w:r>
        <w:fldChar w:fldCharType="begin"/>
      </w:r>
      <w:r>
        <w:instrText xml:space="preserve"> PAGEREF _Toc154677766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"_Toc154677767"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_Toc154677767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"_Toc154677768"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天窗屋顶比</w:t>
      </w:r>
      <w:r>
        <w:tab/>
      </w:r>
      <w:r>
        <w:fldChar w:fldCharType="begin"/>
      </w:r>
      <w:r>
        <w:instrText xml:space="preserve"> PAGEREF _Toc154677768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"_Toc154677769" </w:instrText>
      </w:r>
      <w:r>
        <w:fldChar w:fldCharType="separate"/>
      </w:r>
      <w:r>
        <w:rPr>
          <w:rStyle w:val="21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_Toc154677769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"_Toc154677770"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_Toc154677770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"_Toc154677771" </w:instrText>
      </w:r>
      <w:r>
        <w:fldChar w:fldCharType="separate"/>
      </w:r>
      <w:r>
        <w:rPr>
          <w:rStyle w:val="21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_Toc154677771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"_Toc154677772"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_Toc154677772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"_Toc154677773" </w:instrText>
      </w:r>
      <w:r>
        <w:fldChar w:fldCharType="separate"/>
      </w:r>
      <w:r>
        <w:rPr>
          <w:rStyle w:val="21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_Toc154677773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"_Toc154677774" </w:instrText>
      </w:r>
      <w:r>
        <w:fldChar w:fldCharType="separate"/>
      </w:r>
      <w:r>
        <w:rPr>
          <w:rStyle w:val="21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外墙主断面传热系数的修正系数ψ</w:t>
      </w:r>
      <w:r>
        <w:tab/>
      </w:r>
      <w:r>
        <w:fldChar w:fldCharType="begin"/>
      </w:r>
      <w:r>
        <w:instrText xml:space="preserve"> PAGEREF _Toc154677774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"_Toc154677775" </w:instrText>
      </w:r>
      <w:r>
        <w:fldChar w:fldCharType="separate"/>
      </w:r>
      <w:r>
        <w:rPr>
          <w:rStyle w:val="21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_Toc154677775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"_Toc154677776" </w:instrText>
      </w:r>
      <w:r>
        <w:fldChar w:fldCharType="separate"/>
      </w:r>
      <w:r>
        <w:rPr>
          <w:rStyle w:val="21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_Toc154677776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"_Toc154677777" </w:instrText>
      </w:r>
      <w:r>
        <w:fldChar w:fldCharType="separate"/>
      </w:r>
      <w:r>
        <w:rPr>
          <w:rStyle w:val="21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采暖与非采暖隔墙</w:t>
      </w:r>
      <w:r>
        <w:tab/>
      </w:r>
      <w:r>
        <w:fldChar w:fldCharType="begin"/>
      </w:r>
      <w:r>
        <w:instrText xml:space="preserve"> PAGEREF _Toc154677777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"_Toc154677778" </w:instrText>
      </w:r>
      <w:r>
        <w:fldChar w:fldCharType="separate"/>
      </w:r>
      <w:r>
        <w:rPr>
          <w:rStyle w:val="21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地下车库与供暖房间之间的楼板</w:t>
      </w:r>
      <w:r>
        <w:tab/>
      </w:r>
      <w:r>
        <w:fldChar w:fldCharType="begin"/>
      </w:r>
      <w:r>
        <w:instrText xml:space="preserve"> PAGEREF _Toc154677778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"_Toc154677779" </w:instrText>
      </w:r>
      <w:r>
        <w:fldChar w:fldCharType="separate"/>
      </w:r>
      <w:r>
        <w:rPr>
          <w:rStyle w:val="21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_Toc154677779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"_Toc154677780" </w:instrText>
      </w:r>
      <w:r>
        <w:fldChar w:fldCharType="separate"/>
      </w:r>
      <w:r>
        <w:rPr>
          <w:rStyle w:val="21"/>
          <w:lang w:val="en-GB"/>
        </w:rPr>
        <w:t>4.12.1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_Toc154677780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"_Toc154677781" </w:instrText>
      </w:r>
      <w:r>
        <w:fldChar w:fldCharType="separate"/>
      </w:r>
      <w:r>
        <w:rPr>
          <w:rStyle w:val="21"/>
          <w:lang w:val="en-GB"/>
        </w:rPr>
        <w:t>4.12.2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平均传热系数</w:t>
      </w:r>
      <w:r>
        <w:tab/>
      </w:r>
      <w:r>
        <w:fldChar w:fldCharType="begin"/>
      </w:r>
      <w:r>
        <w:instrText xml:space="preserve"> PAGEREF _Toc154677781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"_Toc154677782" </w:instrText>
      </w:r>
      <w:r>
        <w:fldChar w:fldCharType="separate"/>
      </w:r>
      <w:r>
        <w:rPr>
          <w:rStyle w:val="21"/>
          <w:lang w:val="en-GB"/>
        </w:rPr>
        <w:t>4.12.3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总体热工性能</w:t>
      </w:r>
      <w:r>
        <w:tab/>
      </w:r>
      <w:r>
        <w:fldChar w:fldCharType="begin"/>
      </w:r>
      <w:r>
        <w:instrText xml:space="preserve"> PAGEREF _Toc154677782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"_Toc154677783" </w:instrText>
      </w:r>
      <w:r>
        <w:fldChar w:fldCharType="separate"/>
      </w:r>
      <w:r>
        <w:rPr>
          <w:rStyle w:val="21"/>
          <w:lang w:val="en-GB"/>
        </w:rPr>
        <w:t>4.13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_Toc154677783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"_Toc154677784" </w:instrText>
      </w:r>
      <w:r>
        <w:fldChar w:fldCharType="separate"/>
      </w:r>
      <w:r>
        <w:rPr>
          <w:rStyle w:val="21"/>
          <w:lang w:val="en-GB"/>
        </w:rPr>
        <w:t>4.13.1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_Toc154677784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"_Toc154677785" </w:instrText>
      </w:r>
      <w:r>
        <w:fldChar w:fldCharType="separate"/>
      </w:r>
      <w:r>
        <w:rPr>
          <w:rStyle w:val="21"/>
          <w:lang w:val="en-GB"/>
        </w:rPr>
        <w:t>4.14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采暖地下室外墙构造</w:t>
      </w:r>
      <w:r>
        <w:tab/>
      </w:r>
      <w:r>
        <w:fldChar w:fldCharType="begin"/>
      </w:r>
      <w:r>
        <w:instrText xml:space="preserve"> PAGEREF _Toc154677785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"_Toc154677786" </w:instrText>
      </w:r>
      <w:r>
        <w:fldChar w:fldCharType="separate"/>
      </w:r>
      <w:r>
        <w:rPr>
          <w:rStyle w:val="21"/>
          <w:lang w:val="en-GB"/>
        </w:rPr>
        <w:t>4.15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变形缝</w:t>
      </w:r>
      <w:r>
        <w:tab/>
      </w:r>
      <w:r>
        <w:fldChar w:fldCharType="begin"/>
      </w:r>
      <w:r>
        <w:instrText xml:space="preserve"> PAGEREF _Toc154677786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"_Toc154677787" </w:instrText>
      </w:r>
      <w:r>
        <w:fldChar w:fldCharType="separate"/>
      </w:r>
      <w:r>
        <w:rPr>
          <w:rStyle w:val="21"/>
          <w:lang w:val="en-GB"/>
        </w:rPr>
        <w:t>4.16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有效通风换气面积</w:t>
      </w:r>
      <w:r>
        <w:tab/>
      </w:r>
      <w:r>
        <w:fldChar w:fldCharType="begin"/>
      </w:r>
      <w:r>
        <w:instrText xml:space="preserve"> PAGEREF _Toc154677787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"_Toc154677788" </w:instrText>
      </w:r>
      <w:r>
        <w:fldChar w:fldCharType="separate"/>
      </w:r>
      <w:r>
        <w:rPr>
          <w:rStyle w:val="21"/>
          <w:lang w:val="en-GB"/>
        </w:rPr>
        <w:t>4.17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非中空窗面积比</w:t>
      </w:r>
      <w:r>
        <w:tab/>
      </w:r>
      <w:r>
        <w:fldChar w:fldCharType="begin"/>
      </w:r>
      <w:r>
        <w:instrText xml:space="preserve"> PAGEREF _Toc154677788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"_Toc154677789" </w:instrText>
      </w:r>
      <w:r>
        <w:fldChar w:fldCharType="separate"/>
      </w:r>
      <w:r>
        <w:rPr>
          <w:rStyle w:val="21"/>
          <w:lang w:val="en-GB"/>
        </w:rPr>
        <w:t>4.18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外窗气密性</w:t>
      </w:r>
      <w:r>
        <w:tab/>
      </w:r>
      <w:r>
        <w:fldChar w:fldCharType="begin"/>
      </w:r>
      <w:r>
        <w:instrText xml:space="preserve"> PAGEREF _Toc154677789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"_Toc154677790" </w:instrText>
      </w:r>
      <w:r>
        <w:fldChar w:fldCharType="separate"/>
      </w:r>
      <w:r>
        <w:rPr>
          <w:rStyle w:val="21"/>
          <w:lang w:val="en-GB"/>
        </w:rPr>
        <w:t>4.19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外门气密性</w:t>
      </w:r>
      <w:r>
        <w:tab/>
      </w:r>
      <w:r>
        <w:fldChar w:fldCharType="begin"/>
      </w:r>
      <w:r>
        <w:instrText xml:space="preserve"> PAGEREF _Toc154677790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"_Toc154677791" </w:instrText>
      </w:r>
      <w:r>
        <w:fldChar w:fldCharType="separate"/>
      </w:r>
      <w:r>
        <w:rPr>
          <w:rStyle w:val="21"/>
          <w:lang w:val="en-GB"/>
        </w:rPr>
        <w:t>4.20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幕墙气密性</w:t>
      </w:r>
      <w:r>
        <w:tab/>
      </w:r>
      <w:r>
        <w:fldChar w:fldCharType="begin"/>
      </w:r>
      <w:r>
        <w:instrText xml:space="preserve"> PAGEREF _Toc154677791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"_Toc154677792" </w:instrText>
      </w:r>
      <w:r>
        <w:fldChar w:fldCharType="separate"/>
      </w:r>
      <w:r>
        <w:rPr>
          <w:rStyle w:val="21"/>
          <w:lang w:val="en-GB"/>
        </w:rPr>
        <w:t>4.21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规定性指标检查结论</w:t>
      </w:r>
      <w:r>
        <w:tab/>
      </w:r>
      <w:r>
        <w:fldChar w:fldCharType="begin"/>
      </w:r>
      <w:r>
        <w:instrText xml:space="preserve"> PAGEREF _Toc154677792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54677756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黑龙江-哈尔滨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严寒B区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859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3256.72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1232.63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>
      <w:pPr>
        <w:pStyle w:val="2"/>
      </w:pPr>
      <w:bookmarkStart w:id="31" w:name="_Toc154677757"/>
      <w:bookmarkStart w:id="32" w:name="TitleFormat"/>
      <w:r>
        <w:rPr>
          <w:rFonts w:hint="eastAsia"/>
        </w:rPr>
        <w:t>设计依据</w:t>
      </w:r>
      <w:bookmarkEnd w:id="31"/>
    </w:p>
    <w:bookmarkEnd w:id="32"/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154677758"/>
      <w:r>
        <w:rPr>
          <w:kern w:val="2"/>
          <w:szCs w:val="24"/>
        </w:rPr>
        <w:t>建筑大样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905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8859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914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4677759"/>
      <w:r>
        <w:rPr>
          <w:kern w:val="2"/>
          <w:szCs w:val="24"/>
        </w:rPr>
        <w:t>规定性指标检查</w:t>
      </w:r>
      <w:bookmarkEnd w:id="35"/>
    </w:p>
    <w:p>
      <w:pPr>
        <w:pStyle w:val="4"/>
        <w:widowControl w:val="0"/>
        <w:rPr>
          <w:kern w:val="2"/>
        </w:rPr>
      </w:pPr>
      <w:bookmarkStart w:id="36" w:name="_Toc154677760"/>
      <w:r>
        <w:rPr>
          <w:kern w:val="2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>
            <w:r>
              <w:t>0.034</w:t>
            </w:r>
          </w:p>
        </w:tc>
        <w:tc>
          <w:tcPr>
            <w:tcW w:w="1030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60.0</w:t>
            </w:r>
          </w:p>
        </w:tc>
        <w:tc>
          <w:tcPr>
            <w:tcW w:w="1018" w:type="dxa"/>
            <w:vAlign w:val="center"/>
          </w:tcPr>
          <w:p>
            <w:r>
              <w:t>1378.6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50176-2016，导热系数修正系数（β）：1.15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STP(VIPB)真空绝热板I型</w:t>
            </w:r>
          </w:p>
        </w:tc>
        <w:tc>
          <w:tcPr>
            <w:tcW w:w="1018" w:type="dxa"/>
            <w:vAlign w:val="center"/>
          </w:tcPr>
          <w:p>
            <w:r>
              <w:t>0.005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450.0</w:t>
            </w:r>
          </w:p>
        </w:tc>
        <w:tc>
          <w:tcPr>
            <w:tcW w:w="1018" w:type="dxa"/>
            <w:vAlign w:val="center"/>
          </w:tcPr>
          <w:p>
            <w:r>
              <w:t>8800.6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燃烧性能A级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玻璃棉板、毡</w:t>
            </w:r>
          </w:p>
        </w:tc>
        <w:tc>
          <w:tcPr>
            <w:tcW w:w="1018" w:type="dxa"/>
            <w:vAlign w:val="center"/>
          </w:tcPr>
          <w:p>
            <w:r>
              <w:t>0.040</w:t>
            </w:r>
          </w:p>
        </w:tc>
        <w:tc>
          <w:tcPr>
            <w:tcW w:w="1030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40.0</w:t>
            </w:r>
          </w:p>
        </w:tc>
        <w:tc>
          <w:tcPr>
            <w:tcW w:w="1018" w:type="dxa"/>
            <w:vAlign w:val="center"/>
          </w:tcPr>
          <w:p>
            <w:r>
              <w:t>1241.0</w:t>
            </w:r>
          </w:p>
        </w:tc>
        <w:tc>
          <w:tcPr>
            <w:tcW w:w="1188" w:type="dxa"/>
            <w:vAlign w:val="center"/>
          </w:tcPr>
          <w:p>
            <w:r>
              <w:t>0.4880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50176-2016；注：密度：＜40；导热系数修正系数（β）：1.10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7" w:name="_Toc154677761"/>
      <w:r>
        <w:rPr>
          <w:kern w:val="2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120mm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140mm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幕墙：</w:t>
      </w:r>
      <w:r>
        <w:rPr>
          <w:color w:val="0000FF"/>
          <w:kern w:val="2"/>
          <w:szCs w:val="21"/>
          <w:lang w:val="en-US"/>
        </w:rPr>
        <w:t>70系列六腔三密封（5Low-E (0.15) +9 空气+5 +12 空气+5）：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传热系数1.700W/m^2.K，自身遮阳系数0.220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Cs w:val="21"/>
          <w:lang w:val="en-US"/>
        </w:rPr>
        <w:t>塑料型材框+中空玻璃（6mm高透光Low-E+12mm空气+6mm透明）：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传热系数2.100W/m^2.K，自身遮阳系数0.620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周边地面构造：</w:t>
      </w:r>
      <w:r>
        <w:rPr>
          <w:color w:val="0000FF"/>
          <w:kern w:val="2"/>
          <w:szCs w:val="21"/>
          <w:lang w:val="en-US"/>
        </w:rPr>
        <w:t>周边地面构造二：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酚醛泡沫板（用于墙体） 20mm＋</w:t>
      </w:r>
      <w:r>
        <w:rPr>
          <w:color w:val="800000"/>
          <w:kern w:val="2"/>
          <w:szCs w:val="24"/>
          <w:lang w:val="en-US"/>
        </w:rPr>
        <w:t>STP(VIPB)真空绝热板I型 20mm</w:t>
      </w:r>
      <w:r>
        <w:rPr>
          <w:color w:val="000000"/>
          <w:kern w:val="2"/>
          <w:szCs w:val="24"/>
          <w:lang w:val="en-US"/>
        </w:rPr>
        <w:t>＋细石混凝土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＋玻璃棉板、毡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8" w:name="_Toc154677762"/>
      <w:r>
        <w:rPr>
          <w:kern w:val="2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1232.63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3256.72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《公共建筑节能设计标准》(GB50189-2015)第3.2.1条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54677763"/>
      <w:r>
        <w:rPr>
          <w:kern w:val="2"/>
        </w:rPr>
        <w:t>窗墙比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0" w:name="_Toc154677764"/>
      <w:r>
        <w:rPr>
          <w:color w:val="000000"/>
          <w:kern w:val="2"/>
          <w:szCs w:val="24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立面3</w:t>
            </w:r>
          </w:p>
        </w:tc>
        <w:tc>
          <w:tcPr>
            <w:tcW w:w="1584" w:type="dxa"/>
            <w:vAlign w:val="center"/>
          </w:tcPr>
          <w:p>
            <w:r>
              <w:t>23.76</w:t>
            </w:r>
          </w:p>
        </w:tc>
        <w:tc>
          <w:tcPr>
            <w:tcW w:w="1584" w:type="dxa"/>
            <w:vAlign w:val="center"/>
          </w:tcPr>
          <w:p>
            <w:r>
              <w:t>261.68</w:t>
            </w:r>
          </w:p>
        </w:tc>
        <w:tc>
          <w:tcPr>
            <w:tcW w:w="1131" w:type="dxa"/>
            <w:vAlign w:val="center"/>
          </w:tcPr>
          <w:p>
            <w:r>
              <w:t>0.09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立面4</w:t>
            </w:r>
          </w:p>
        </w:tc>
        <w:tc>
          <w:tcPr>
            <w:tcW w:w="1584" w:type="dxa"/>
            <w:vAlign w:val="center"/>
          </w:tcPr>
          <w:p>
            <w:r>
              <w:t>34.56</w:t>
            </w:r>
          </w:p>
        </w:tc>
        <w:tc>
          <w:tcPr>
            <w:tcW w:w="1584" w:type="dxa"/>
            <w:vAlign w:val="center"/>
          </w:tcPr>
          <w:p>
            <w:r>
              <w:t>280.03</w:t>
            </w:r>
          </w:p>
        </w:tc>
        <w:tc>
          <w:tcPr>
            <w:tcW w:w="1131" w:type="dxa"/>
            <w:vAlign w:val="center"/>
          </w:tcPr>
          <w:p>
            <w:r>
              <w:t>0.12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立面1</w:t>
            </w:r>
          </w:p>
        </w:tc>
        <w:tc>
          <w:tcPr>
            <w:tcW w:w="1584" w:type="dxa"/>
            <w:vAlign w:val="center"/>
          </w:tcPr>
          <w:p>
            <w:r>
              <w:t>43.13</w:t>
            </w:r>
          </w:p>
        </w:tc>
        <w:tc>
          <w:tcPr>
            <w:tcW w:w="1584" w:type="dxa"/>
            <w:vAlign w:val="center"/>
          </w:tcPr>
          <w:p>
            <w:r>
              <w:t>103.33</w:t>
            </w:r>
          </w:p>
        </w:tc>
        <w:tc>
          <w:tcPr>
            <w:tcW w:w="1131" w:type="dxa"/>
            <w:vAlign w:val="center"/>
          </w:tcPr>
          <w:p>
            <w:r>
              <w:t>0.42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立面2</w:t>
            </w:r>
          </w:p>
        </w:tc>
        <w:tc>
          <w:tcPr>
            <w:tcW w:w="1584" w:type="dxa"/>
            <w:vAlign w:val="center"/>
          </w:tcPr>
          <w:p>
            <w:r>
              <w:t>36.83</w:t>
            </w:r>
          </w:p>
        </w:tc>
        <w:tc>
          <w:tcPr>
            <w:tcW w:w="1584" w:type="dxa"/>
            <w:vAlign w:val="center"/>
          </w:tcPr>
          <w:p>
            <w:r>
              <w:t>103.33</w:t>
            </w:r>
          </w:p>
        </w:tc>
        <w:tc>
          <w:tcPr>
            <w:tcW w:w="1131" w:type="dxa"/>
            <w:vAlign w:val="center"/>
          </w:tcPr>
          <w:p>
            <w:r>
              <w:t>0.36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严寒地区甲类公共建筑各单一立面窗墙面积比 (包括透光幕墙 )均不宜大于0.60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1" w:name="_Toc154677765"/>
      <w:r>
        <w:rPr>
          <w:color w:val="000000"/>
          <w:kern w:val="2"/>
          <w:szCs w:val="24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  <w:r>
              <w:br w:type="textWrapping"/>
            </w:r>
            <w:r>
              <w:t>23.76</w:t>
            </w:r>
          </w:p>
        </w:tc>
        <w:tc>
          <w:tcPr>
            <w:tcW w:w="1562" w:type="dxa"/>
            <w:vAlign w:val="center"/>
          </w:tcPr>
          <w:p>
            <w:r>
              <w:t>C1218</w:t>
            </w:r>
          </w:p>
        </w:tc>
        <w:tc>
          <w:tcPr>
            <w:tcW w:w="1386" w:type="dxa"/>
            <w:vAlign w:val="center"/>
          </w:tcPr>
          <w:p>
            <w:r>
              <w:t>1.20×1.80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11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23.76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  <w:r>
              <w:br w:type="textWrapping"/>
            </w:r>
            <w:r>
              <w:t>34.56</w:t>
            </w:r>
          </w:p>
        </w:tc>
        <w:tc>
          <w:tcPr>
            <w:tcW w:w="1562" w:type="dxa"/>
            <w:vAlign w:val="center"/>
          </w:tcPr>
          <w:p>
            <w:r>
              <w:t>C1218</w:t>
            </w:r>
          </w:p>
        </w:tc>
        <w:tc>
          <w:tcPr>
            <w:tcW w:w="1386" w:type="dxa"/>
            <w:vAlign w:val="center"/>
          </w:tcPr>
          <w:p>
            <w:r>
              <w:t>1.20×1.80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16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34.56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43.13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1.00×3.00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  <w:tc>
          <w:tcPr>
            <w:tcW w:w="1262" w:type="dxa"/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1.50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6.00×5.24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31.43</w:t>
            </w:r>
          </w:p>
        </w:tc>
        <w:tc>
          <w:tcPr>
            <w:tcW w:w="1262" w:type="dxa"/>
            <w:vAlign w:val="center"/>
          </w:tcPr>
          <w:p>
            <w:r>
              <w:t>31.43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36.83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1.00×3.00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  <w:tc>
          <w:tcPr>
            <w:tcW w:w="1262" w:type="dxa"/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1.50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1.00×4.66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4.66</w:t>
            </w:r>
          </w:p>
        </w:tc>
        <w:tc>
          <w:tcPr>
            <w:tcW w:w="1262" w:type="dxa"/>
            <w:vAlign w:val="center"/>
          </w:tcPr>
          <w:p>
            <w:r>
              <w:t>9.32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0.50×5.09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2.55</w:t>
            </w:r>
          </w:p>
        </w:tc>
        <w:tc>
          <w:tcPr>
            <w:tcW w:w="1262" w:type="dxa"/>
            <w:vAlign w:val="center"/>
          </w:tcPr>
          <w:p>
            <w:r>
              <w:t>5.09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1.50×3.57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5.36</w:t>
            </w:r>
          </w:p>
        </w:tc>
        <w:tc>
          <w:tcPr>
            <w:tcW w:w="1262" w:type="dxa"/>
            <w:vAlign w:val="center"/>
          </w:tcPr>
          <w:p>
            <w:r>
              <w:t>10.72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54677766"/>
      <w:r>
        <w:rPr>
          <w:kern w:val="2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立面3</w:t>
            </w:r>
          </w:p>
        </w:tc>
        <w:tc>
          <w:tcPr>
            <w:tcW w:w="1131" w:type="dxa"/>
            <w:vAlign w:val="center"/>
          </w:tcPr>
          <w:p>
            <w:r>
              <w:t>0.09</w:t>
            </w:r>
          </w:p>
        </w:tc>
        <w:tc>
          <w:tcPr>
            <w:tcW w:w="2088" w:type="dxa"/>
            <w:vAlign w:val="center"/>
          </w:tcPr>
          <w:p>
            <w:r>
              <w:t>C1218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立面4</w:t>
            </w:r>
          </w:p>
        </w:tc>
        <w:tc>
          <w:tcPr>
            <w:tcW w:w="1131" w:type="dxa"/>
            <w:vAlign w:val="center"/>
          </w:tcPr>
          <w:p>
            <w:r>
              <w:t>0.12</w:t>
            </w:r>
          </w:p>
        </w:tc>
        <w:tc>
          <w:tcPr>
            <w:tcW w:w="2088" w:type="dxa"/>
            <w:vAlign w:val="center"/>
          </w:tcPr>
          <w:p>
            <w:r>
              <w:t>C1218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立面1</w:t>
            </w:r>
          </w:p>
        </w:tc>
        <w:tc>
          <w:tcPr>
            <w:tcW w:w="1131" w:type="dxa"/>
            <w:vAlign w:val="center"/>
          </w:tcPr>
          <w:p>
            <w:r>
              <w:t>0.42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立面2</w:t>
            </w:r>
          </w:p>
        </w:tc>
        <w:tc>
          <w:tcPr>
            <w:tcW w:w="1131" w:type="dxa"/>
            <w:vAlign w:val="center"/>
          </w:tcPr>
          <w:p>
            <w:r>
              <w:t>0.36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4677767"/>
      <w:r>
        <w:rPr>
          <w:kern w:val="2"/>
        </w:rPr>
        <w:t>天窗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154677768"/>
      <w:r>
        <w:rPr>
          <w:color w:val="000000"/>
          <w:kern w:val="2"/>
          <w:szCs w:val="24"/>
        </w:rPr>
        <w:t>天窗屋顶比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5" w:name="_Toc154677769"/>
      <w:r>
        <w:rPr>
          <w:color w:val="000000"/>
          <w:kern w:val="2"/>
          <w:szCs w:val="24"/>
        </w:rPr>
        <w:t>天窗类型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6" w:name="_Toc154677770"/>
      <w:r>
        <w:rPr>
          <w:kern w:val="2"/>
        </w:rPr>
        <w:t>屋顶构造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154677771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3.333</w:t>
            </w:r>
          </w:p>
        </w:tc>
        <w:tc>
          <w:tcPr>
            <w:tcW w:w="1064" w:type="dxa"/>
            <w:vAlign w:val="center"/>
          </w:tcPr>
          <w:p>
            <w:r>
              <w:t>1.360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3.919</w:t>
            </w:r>
          </w:p>
        </w:tc>
        <w:tc>
          <w:tcPr>
            <w:tcW w:w="1064" w:type="dxa"/>
            <w:vAlign w:val="center"/>
          </w:tcPr>
          <w:p>
            <w:r>
              <w:t>4.824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K≤0.28,S≤0.3或K≤0.25,0.3&lt;S≤0.50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8" w:name="_Toc154677772"/>
      <w:r>
        <w:rPr>
          <w:kern w:val="2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154677773"/>
      <w:r>
        <w:rPr>
          <w:color w:val="000000"/>
          <w:kern w:val="2"/>
          <w:szCs w:val="24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3.889</w:t>
            </w:r>
          </w:p>
        </w:tc>
        <w:tc>
          <w:tcPr>
            <w:tcW w:w="1064" w:type="dxa"/>
            <w:vAlign w:val="center"/>
          </w:tcPr>
          <w:p>
            <w:r>
              <w:t>1.587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4.072</w:t>
            </w:r>
          </w:p>
        </w:tc>
        <w:tc>
          <w:tcPr>
            <w:tcW w:w="1064" w:type="dxa"/>
            <w:vAlign w:val="center"/>
          </w:tcPr>
          <w:p>
            <w:r>
              <w:t>4.301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0.24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154677774"/>
      <w:r>
        <w:rPr>
          <w:color w:val="000000"/>
          <w:kern w:val="2"/>
          <w:szCs w:val="24"/>
        </w:rPr>
        <w:t>外墙主断面传热系数的修正系数ψ</w:t>
      </w:r>
      <w:bookmarkEnd w:id="50"/>
    </w:p>
    <w:p>
      <w:pPr>
        <w:jc w:val="center"/>
        <w:rPr>
          <w:szCs w:val="21"/>
          <w:lang w:val="en-US"/>
        </w:rPr>
      </w:pPr>
      <w:bookmarkStart w:id="51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154677775"/>
      <w:r>
        <w:rPr>
          <w:color w:val="000000"/>
          <w:kern w:val="2"/>
          <w:szCs w:val="24"/>
        </w:rPr>
        <w:t>外墙平均热工特性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219.02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207.67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53.90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53.90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534.48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K≤0.38,S≤0.30或K≤0.35,0.30&lt;S≤0.50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154677776"/>
      <w:r>
        <w:rPr>
          <w:kern w:val="2"/>
        </w:rPr>
        <w:t>挑空楼板构造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4" w:name="_Toc154677777"/>
      <w:r>
        <w:rPr>
          <w:kern w:val="2"/>
        </w:rPr>
        <w:t>采暖与非采暖隔墙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5" w:name="_Toc154677778"/>
      <w:r>
        <w:rPr>
          <w:kern w:val="2"/>
        </w:rPr>
        <w:t>地下车库与供暖房间之间的楼板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6" w:name="_Toc154677779"/>
      <w:r>
        <w:rPr>
          <w:kern w:val="2"/>
        </w:rPr>
        <w:t>外窗热工</w:t>
      </w:r>
      <w:bookmarkEnd w:id="5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7" w:name="_Toc154677780"/>
      <w:r>
        <w:rPr>
          <w:color w:val="000000"/>
          <w:kern w:val="2"/>
          <w:szCs w:val="24"/>
        </w:rPr>
        <w:t>外窗构造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70系列六腔三密封（5Low-E (0.15) +9 空气+5 +12 空气+5）</w:t>
            </w:r>
          </w:p>
        </w:tc>
        <w:tc>
          <w:tcPr>
            <w:tcW w:w="826" w:type="dxa"/>
            <w:vAlign w:val="center"/>
          </w:tcPr>
          <w:p>
            <w:r>
              <w:t>88</w:t>
            </w:r>
          </w:p>
        </w:tc>
        <w:tc>
          <w:tcPr>
            <w:tcW w:w="832" w:type="dxa"/>
            <w:vAlign w:val="center"/>
          </w:tcPr>
          <w:p>
            <w:r>
              <w:t>1.70</w:t>
            </w:r>
          </w:p>
        </w:tc>
        <w:tc>
          <w:tcPr>
            <w:tcW w:w="956" w:type="dxa"/>
            <w:vAlign w:val="center"/>
          </w:tcPr>
          <w:p>
            <w:r>
              <w:t>0.19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黑龙江省居住建筑节能设计标准 DB 23/1270-2019 附录F常用外窗热工性能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2</w:t>
            </w:r>
          </w:p>
        </w:tc>
        <w:tc>
          <w:tcPr>
            <w:tcW w:w="1867" w:type="dxa"/>
            <w:vAlign w:val="center"/>
          </w:tcPr>
          <w:p>
            <w:r>
              <w:t>塑料型材框+中空玻璃（6mm高透光Low-E+12mm空气+6mm透明）</w:t>
            </w:r>
          </w:p>
        </w:tc>
        <w:tc>
          <w:tcPr>
            <w:tcW w:w="826" w:type="dxa"/>
            <w:vAlign w:val="center"/>
          </w:tcPr>
          <w:p>
            <w:r>
              <w:t>74</w:t>
            </w:r>
          </w:p>
        </w:tc>
        <w:tc>
          <w:tcPr>
            <w:tcW w:w="832" w:type="dxa"/>
            <w:vAlign w:val="center"/>
          </w:tcPr>
          <w:p>
            <w:r>
              <w:t>2.10</w:t>
            </w:r>
          </w:p>
        </w:tc>
        <w:tc>
          <w:tcPr>
            <w:tcW w:w="956" w:type="dxa"/>
            <w:vAlign w:val="center"/>
          </w:tcPr>
          <w:p>
            <w:r>
              <w:t>0.54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《全国民用建筑工程设计技术措施节能篇》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8" w:name="_Toc154677781"/>
      <w:r>
        <w:rPr>
          <w:color w:val="000000"/>
          <w:kern w:val="2"/>
          <w:szCs w:val="24"/>
        </w:rPr>
        <w:t>平均传热系数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立面1(东向)：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3.000</w:t>
            </w:r>
          </w:p>
        </w:tc>
        <w:tc>
          <w:tcPr>
            <w:tcW w:w="1188" w:type="dxa"/>
            <w:vAlign w:val="center"/>
          </w:tcPr>
          <w:p>
            <w:r>
              <w:t>6.000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1.500</w:t>
            </w:r>
          </w:p>
        </w:tc>
        <w:tc>
          <w:tcPr>
            <w:tcW w:w="1188" w:type="dxa"/>
            <w:vAlign w:val="center"/>
          </w:tcPr>
          <w:p>
            <w:r>
              <w:t>3.000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31.434</w:t>
            </w:r>
          </w:p>
        </w:tc>
        <w:tc>
          <w:tcPr>
            <w:tcW w:w="1188" w:type="dxa"/>
            <w:vAlign w:val="center"/>
          </w:tcPr>
          <w:p>
            <w:r>
              <w:t>31.434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43.134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立面2(西向)：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3.000</w:t>
            </w:r>
          </w:p>
        </w:tc>
        <w:tc>
          <w:tcPr>
            <w:tcW w:w="1188" w:type="dxa"/>
            <w:vAlign w:val="center"/>
          </w:tcPr>
          <w:p>
            <w:r>
              <w:t>6.000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1.500</w:t>
            </w:r>
          </w:p>
        </w:tc>
        <w:tc>
          <w:tcPr>
            <w:tcW w:w="1188" w:type="dxa"/>
            <w:vAlign w:val="center"/>
          </w:tcPr>
          <w:p>
            <w:r>
              <w:t>3.000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4.662</w:t>
            </w:r>
          </w:p>
        </w:tc>
        <w:tc>
          <w:tcPr>
            <w:tcW w:w="1188" w:type="dxa"/>
            <w:vAlign w:val="center"/>
          </w:tcPr>
          <w:p>
            <w:r>
              <w:t>9.323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2.547</w:t>
            </w:r>
          </w:p>
        </w:tc>
        <w:tc>
          <w:tcPr>
            <w:tcW w:w="1188" w:type="dxa"/>
            <w:vAlign w:val="center"/>
          </w:tcPr>
          <w:p>
            <w:r>
              <w:t>5.095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5.358</w:t>
            </w:r>
          </w:p>
        </w:tc>
        <w:tc>
          <w:tcPr>
            <w:tcW w:w="1188" w:type="dxa"/>
            <w:vAlign w:val="center"/>
          </w:tcPr>
          <w:p>
            <w:r>
              <w:t>10.716</w:t>
            </w:r>
          </w:p>
        </w:tc>
        <w:tc>
          <w:tcPr>
            <w:tcW w:w="1188" w:type="dxa"/>
            <w:vAlign w:val="center"/>
          </w:tcPr>
          <w:p>
            <w:r>
              <w:t>88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36.834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立面3(南向)：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C1218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23.760</w:t>
            </w:r>
          </w:p>
        </w:tc>
        <w:tc>
          <w:tcPr>
            <w:tcW w:w="1188" w:type="dxa"/>
            <w:vAlign w:val="center"/>
          </w:tcPr>
          <w:p>
            <w:r>
              <w:t>74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23.760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C1218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16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34.560</w:t>
            </w:r>
          </w:p>
        </w:tc>
        <w:tc>
          <w:tcPr>
            <w:tcW w:w="1188" w:type="dxa"/>
            <w:vAlign w:val="center"/>
          </w:tcPr>
          <w:p>
            <w:r>
              <w:t>74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34.560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9" w:name="_Toc154677782"/>
      <w:r>
        <w:rPr>
          <w:color w:val="000000"/>
          <w:kern w:val="2"/>
          <w:szCs w:val="24"/>
        </w:rPr>
        <w:t>总体热工性能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立面3</w:t>
            </w:r>
          </w:p>
        </w:tc>
        <w:tc>
          <w:tcPr>
            <w:tcW w:w="1018" w:type="dxa"/>
            <w:vAlign w:val="center"/>
          </w:tcPr>
          <w:p>
            <w:r>
              <w:t>23.76</w:t>
            </w:r>
          </w:p>
        </w:tc>
        <w:tc>
          <w:tcPr>
            <w:tcW w:w="1131" w:type="dxa"/>
            <w:vAlign w:val="center"/>
          </w:tcPr>
          <w:p>
            <w:r>
              <w:t>2.10</w:t>
            </w:r>
          </w:p>
        </w:tc>
        <w:tc>
          <w:tcPr>
            <w:tcW w:w="1245" w:type="dxa"/>
            <w:vAlign w:val="center"/>
          </w:tcPr>
          <w:p>
            <w:r>
              <w:t>0.54</w:t>
            </w:r>
          </w:p>
        </w:tc>
        <w:tc>
          <w:tcPr>
            <w:tcW w:w="1075" w:type="dxa"/>
            <w:vAlign w:val="center"/>
          </w:tcPr>
          <w:p>
            <w:r>
              <w:t>0.09</w:t>
            </w:r>
          </w:p>
        </w:tc>
        <w:tc>
          <w:tcPr>
            <w:tcW w:w="1465" w:type="dxa"/>
            <w:vAlign w:val="center"/>
          </w:tcPr>
          <w:p>
            <w:r>
              <w:t>K≤2.50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立面4</w:t>
            </w:r>
          </w:p>
        </w:tc>
        <w:tc>
          <w:tcPr>
            <w:tcW w:w="1018" w:type="dxa"/>
            <w:vAlign w:val="center"/>
          </w:tcPr>
          <w:p>
            <w:r>
              <w:t>34.56</w:t>
            </w:r>
          </w:p>
        </w:tc>
        <w:tc>
          <w:tcPr>
            <w:tcW w:w="1131" w:type="dxa"/>
            <w:vAlign w:val="center"/>
          </w:tcPr>
          <w:p>
            <w:r>
              <w:t>2.10</w:t>
            </w:r>
          </w:p>
        </w:tc>
        <w:tc>
          <w:tcPr>
            <w:tcW w:w="1245" w:type="dxa"/>
            <w:vAlign w:val="center"/>
          </w:tcPr>
          <w:p>
            <w:r>
              <w:t>0.54</w:t>
            </w:r>
          </w:p>
        </w:tc>
        <w:tc>
          <w:tcPr>
            <w:tcW w:w="1075" w:type="dxa"/>
            <w:vAlign w:val="center"/>
          </w:tcPr>
          <w:p>
            <w:r>
              <w:t>0.12</w:t>
            </w:r>
          </w:p>
        </w:tc>
        <w:tc>
          <w:tcPr>
            <w:tcW w:w="1465" w:type="dxa"/>
            <w:vAlign w:val="center"/>
          </w:tcPr>
          <w:p>
            <w:r>
              <w:t>K≤2.50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立面1</w:t>
            </w:r>
          </w:p>
        </w:tc>
        <w:tc>
          <w:tcPr>
            <w:tcW w:w="1018" w:type="dxa"/>
            <w:vAlign w:val="center"/>
          </w:tcPr>
          <w:p>
            <w:r>
              <w:t>43.13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0.19</w:t>
            </w:r>
          </w:p>
        </w:tc>
        <w:tc>
          <w:tcPr>
            <w:tcW w:w="1075" w:type="dxa"/>
            <w:vAlign w:val="center"/>
          </w:tcPr>
          <w:p>
            <w:r>
              <w:t>0.42</w:t>
            </w:r>
          </w:p>
        </w:tc>
        <w:tc>
          <w:tcPr>
            <w:tcW w:w="1465" w:type="dxa"/>
            <w:vAlign w:val="center"/>
          </w:tcPr>
          <w:p>
            <w:r>
              <w:t>K≤1.70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立面2</w:t>
            </w:r>
          </w:p>
        </w:tc>
        <w:tc>
          <w:tcPr>
            <w:tcW w:w="1018" w:type="dxa"/>
            <w:vAlign w:val="center"/>
          </w:tcPr>
          <w:p>
            <w:r>
              <w:t>36.83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0.19</w:t>
            </w:r>
          </w:p>
        </w:tc>
        <w:tc>
          <w:tcPr>
            <w:tcW w:w="1075" w:type="dxa"/>
            <w:vAlign w:val="center"/>
          </w:tcPr>
          <w:p>
            <w:r>
              <w:t>0.36</w:t>
            </w:r>
          </w:p>
        </w:tc>
        <w:tc>
          <w:tcPr>
            <w:tcW w:w="1465" w:type="dxa"/>
            <w:vAlign w:val="center"/>
          </w:tcPr>
          <w:p>
            <w:r>
              <w:t>K≤2.00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138.29</w:t>
            </w:r>
          </w:p>
        </w:tc>
        <w:tc>
          <w:tcPr>
            <w:tcW w:w="1131" w:type="dxa"/>
            <w:vAlign w:val="center"/>
          </w:tcPr>
          <w:p>
            <w:r>
              <w:t>1.87</w:t>
            </w:r>
          </w:p>
        </w:tc>
        <w:tc>
          <w:tcPr>
            <w:tcW w:w="1245" w:type="dxa"/>
            <w:vAlign w:val="center"/>
          </w:tcPr>
          <w:p>
            <w:r>
              <w:t>0.34</w:t>
            </w:r>
          </w:p>
        </w:tc>
        <w:tc>
          <w:tcPr>
            <w:tcW w:w="1075" w:type="dxa"/>
            <w:vAlign w:val="center"/>
          </w:tcPr>
          <w:p>
            <w:r>
              <w:t>0.18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外窗传热系数应满足表3.3.1-1的要求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60" w:name="_Toc154677783"/>
      <w:r>
        <w:rPr>
          <w:kern w:val="2"/>
        </w:rPr>
        <w:t>周边地面构造</w:t>
      </w:r>
      <w:bookmarkEnd w:id="60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1" w:name="_Toc154677784"/>
      <w:r>
        <w:rPr>
          <w:color w:val="000000"/>
          <w:kern w:val="2"/>
          <w:szCs w:val="24"/>
        </w:rPr>
        <w:t>周边地面构造二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75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64" w:type="dxa"/>
            <w:vAlign w:val="center"/>
          </w:tcPr>
          <w:p>
            <w:r>
              <w:t>0.190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1064" w:type="dxa"/>
            <w:vAlign w:val="center"/>
          </w:tcPr>
          <w:p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5.09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R≥1.1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2" w:name="_Toc154677785"/>
      <w:r>
        <w:rPr>
          <w:kern w:val="2"/>
        </w:rPr>
        <w:t>采暖地下室外墙构造</w:t>
      </w:r>
      <w:bookmarkEnd w:id="6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3" w:name="_Toc154677786"/>
      <w:r>
        <w:rPr>
          <w:kern w:val="2"/>
        </w:rPr>
        <w:t>变形缝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4" w:name="_Toc154677787"/>
      <w:r>
        <w:rPr>
          <w:kern w:val="2"/>
        </w:rPr>
        <w:t>有效通风换气面积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96.28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94.80</w:t>
            </w:r>
          </w:p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3.00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3.00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96.28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94.80</w:t>
            </w:r>
          </w:p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3.00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3.00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44.89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44.89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44.89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44.89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Align w:val="center"/>
          </w:tcPr>
          <w:p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87.59</w:t>
            </w:r>
          </w:p>
        </w:tc>
        <w:tc>
          <w:tcPr>
            <w:tcW w:w="735" w:type="dxa"/>
            <w:vAlign w:val="center"/>
          </w:tcPr>
          <w:p>
            <w:r>
              <w:t>119.15</w:t>
            </w:r>
          </w:p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31.43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79.76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97.04</w:t>
            </w:r>
          </w:p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4.66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4.66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30.46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19.76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30.46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19.76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30.46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19.76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30.46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19.76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11.64</w:t>
            </w:r>
          </w:p>
        </w:tc>
        <w:tc>
          <w:tcPr>
            <w:tcW w:w="735" w:type="dxa"/>
            <w:vAlign w:val="center"/>
          </w:tcPr>
          <w:p>
            <w:r>
              <w:t>9.09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2008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11.64</w:t>
            </w:r>
          </w:p>
        </w:tc>
        <w:tc>
          <w:tcPr>
            <w:tcW w:w="735" w:type="dxa"/>
            <w:vAlign w:val="center"/>
          </w:tcPr>
          <w:p>
            <w:r>
              <w:t>9.09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11.64</w:t>
            </w:r>
          </w:p>
        </w:tc>
        <w:tc>
          <w:tcPr>
            <w:tcW w:w="735" w:type="dxa"/>
            <w:vAlign w:val="center"/>
          </w:tcPr>
          <w:p>
            <w:r>
              <w:t>9.09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2011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11.64</w:t>
            </w:r>
          </w:p>
        </w:tc>
        <w:tc>
          <w:tcPr>
            <w:tcW w:w="735" w:type="dxa"/>
            <w:vAlign w:val="center"/>
          </w:tcPr>
          <w:p>
            <w:r>
              <w:t>9.09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3.08</w:t>
            </w:r>
          </w:p>
        </w:tc>
        <w:tc>
          <w:tcPr>
            <w:tcW w:w="735" w:type="dxa"/>
            <w:vAlign w:val="center"/>
          </w:tcPr>
          <w:p>
            <w:r>
              <w:t>7.14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0.09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3.08</w:t>
            </w:r>
          </w:p>
        </w:tc>
        <w:tc>
          <w:tcPr>
            <w:tcW w:w="735" w:type="dxa"/>
            <w:vAlign w:val="center"/>
          </w:tcPr>
          <w:p>
            <w:r>
              <w:t>7.14</w:t>
            </w:r>
          </w:p>
        </w:tc>
        <w:tc>
          <w:tcPr>
            <w:tcW w:w="962" w:type="dxa"/>
            <w:vAlign w:val="center"/>
          </w:tcPr>
          <w:p>
            <w:r>
              <w:t>C1218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0.09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5" w:name="_Toc154677788"/>
      <w:r>
        <w:rPr>
          <w:kern w:val="2"/>
        </w:rPr>
        <w:t>非中空窗面积比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23.76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34.56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43.13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36.83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6" w:name="_Toc154677789"/>
      <w:r>
        <w:rPr>
          <w:kern w:val="2"/>
        </w:rPr>
        <w:t>外窗气密性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7" w:name="_Toc154677790"/>
      <w:r>
        <w:rPr>
          <w:kern w:val="2"/>
        </w:rPr>
        <w:t>外门气密性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8" w:name="_Toc154677791"/>
      <w:r>
        <w:rPr>
          <w:kern w:val="2"/>
        </w:rPr>
        <w:t>幕墙气密性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9" w:name="_Toc154677792"/>
      <w:r>
        <w:rPr>
          <w:kern w:val="2"/>
        </w:rPr>
        <w:t>规定性指标检查结论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2D1111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5549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D1111"/>
    <w:rsid w:val="002E702B"/>
    <w:rsid w:val="002F3F3C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016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Company>ths</Company>
  <Pages>15</Pages>
  <Words>1884</Words>
  <Characters>10744</Characters>
  <Lines>89</Lines>
  <Paragraphs>25</Paragraphs>
  <TotalTime>2</TotalTime>
  <ScaleCrop>false</ScaleCrop>
  <LinksUpToDate>false</LinksUpToDate>
  <CharactersWithSpaces>12603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2023-12-28T09:42:00Z</dcterms:created>
  <dc:creator>MR</dc:creator>
  <cp:lastModifiedBy>王孜硕</cp:lastModifiedBy>
  <cp:lastPrinted>2411-12-31T16:00:00Z</cp:lastPrinted>
  <dcterms:modified xsi:type="dcterms:W3CDTF">2024-01-01T03:21:22Z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C1421C5600DA44AA9B0E262C45F420F5_12</vt:lpwstr>
  </property>
</Properties>
</file>