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商业建筑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bookmarkEnd w:id="1"/>
            <w:r>
              <w:rPr>
                <w:rFonts w:hint="eastAsia"/>
              </w:rPr>
              <w:t>炫彩光伏-穆棱水泥厂绿建改造设计</w:t>
            </w:r>
            <w:bookmarkStart w:id="59" w:name="_GoBack"/>
            <w:bookmarkEnd w:id="5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2023年12月23日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建筑声环境SEDU2023</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T18265483629</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 w:val="21"/>
          <w:szCs w:val="22"/>
          <w14:ligatures w14:val="standardContextual"/>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"_Toc154242751" </w:instrText>
      </w:r>
      <w:r>
        <w:fldChar w:fldCharType="separate"/>
      </w:r>
      <w:r>
        <w:rPr>
          <w:rStyle w:val="25"/>
        </w:rPr>
        <w:t>1</w:t>
      </w:r>
      <w:r>
        <w:rPr>
          <w:rFonts w:asciiTheme="minorHAnsi" w:hAnsiTheme="minorHAnsi" w:eastAsiaTheme="minorEastAsia" w:cstheme="minorBidi"/>
          <w:b w:val="0"/>
          <w:bCs w:val="0"/>
          <w:sz w:val="21"/>
          <w:szCs w:val="22"/>
          <w14:ligatures w14:val="standardContextual"/>
        </w:rPr>
        <w:tab/>
      </w:r>
      <w:r>
        <w:rPr>
          <w:rStyle w:val="25"/>
        </w:rPr>
        <w:t>建筑概况</w:t>
      </w:r>
      <w:r>
        <w:tab/>
      </w:r>
      <w:r>
        <w:fldChar w:fldCharType="begin"/>
      </w:r>
      <w:r>
        <w:instrText xml:space="preserve"> PAGEREF _Toc154242751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"_Toc154242752" </w:instrText>
      </w:r>
      <w:r>
        <w:fldChar w:fldCharType="separate"/>
      </w:r>
      <w:r>
        <w:rPr>
          <w:rStyle w:val="25"/>
        </w:rPr>
        <w:t>2</w:t>
      </w:r>
      <w:r>
        <w:rPr>
          <w:rFonts w:asciiTheme="minorHAnsi" w:hAnsiTheme="minorHAnsi" w:eastAsiaTheme="minorEastAsia" w:cstheme="minorBidi"/>
          <w:b w:val="0"/>
          <w:bCs w:val="0"/>
          <w:sz w:val="21"/>
          <w:szCs w:val="22"/>
          <w14:ligatures w14:val="standardContextual"/>
        </w:rPr>
        <w:tab/>
      </w:r>
      <w:r>
        <w:rPr>
          <w:rStyle w:val="25"/>
        </w:rPr>
        <w:t>评价依据</w:t>
      </w:r>
      <w:r>
        <w:tab/>
      </w:r>
      <w:r>
        <w:fldChar w:fldCharType="begin"/>
      </w:r>
      <w:r>
        <w:instrText xml:space="preserve"> PAGEREF _Toc154242752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"_Toc154242753" </w:instrText>
      </w:r>
      <w:r>
        <w:fldChar w:fldCharType="separate"/>
      </w:r>
      <w:r>
        <w:rPr>
          <w:rStyle w:val="25"/>
        </w:rPr>
        <w:t>3</w:t>
      </w:r>
      <w:r>
        <w:rPr>
          <w:rFonts w:asciiTheme="minorHAnsi" w:hAnsiTheme="minorHAnsi" w:eastAsiaTheme="minorEastAsia" w:cstheme="minorBidi"/>
          <w:b w:val="0"/>
          <w:bCs w:val="0"/>
          <w:sz w:val="21"/>
          <w:szCs w:val="22"/>
          <w14:ligatures w14:val="standardContextual"/>
        </w:rPr>
        <w:tab/>
      </w:r>
      <w:r>
        <w:rPr>
          <w:rStyle w:val="25"/>
        </w:rPr>
        <w:t>标准要求</w:t>
      </w:r>
      <w:r>
        <w:tab/>
      </w:r>
      <w:r>
        <w:fldChar w:fldCharType="begin"/>
      </w:r>
      <w:r>
        <w:instrText xml:space="preserve"> PAGEREF _Toc154242753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"_Toc154242754" </w:instrText>
      </w:r>
      <w:r>
        <w:fldChar w:fldCharType="separate"/>
      </w:r>
      <w:r>
        <w:rPr>
          <w:rStyle w:val="25"/>
        </w:rPr>
        <w:t>4</w:t>
      </w:r>
      <w:r>
        <w:rPr>
          <w:rFonts w:asciiTheme="minorHAnsi" w:hAnsiTheme="minorHAnsi" w:eastAsiaTheme="minorEastAsia" w:cstheme="minorBidi"/>
          <w:b w:val="0"/>
          <w:bCs w:val="0"/>
          <w:sz w:val="21"/>
          <w:szCs w:val="22"/>
          <w14:ligatures w14:val="standardContextual"/>
        </w:rPr>
        <w:tab/>
      </w:r>
      <w:r>
        <w:rPr>
          <w:rStyle w:val="25"/>
        </w:rPr>
        <w:t>隔声理论概述</w:t>
      </w:r>
      <w:r>
        <w:tab/>
      </w:r>
      <w:r>
        <w:fldChar w:fldCharType="begin"/>
      </w:r>
      <w:r>
        <w:instrText xml:space="preserve"> PAGEREF _Toc154242754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"_Toc154242755" </w:instrText>
      </w:r>
      <w:r>
        <w:fldChar w:fldCharType="separate"/>
      </w:r>
      <w:r>
        <w:rPr>
          <w:rStyle w:val="25"/>
        </w:rPr>
        <w:t>4.1</w:t>
      </w:r>
      <w:r>
        <w:rPr>
          <w:rFonts w:asciiTheme="minorHAnsi" w:hAnsiTheme="minorHAnsi" w:eastAsiaTheme="minorEastAsia" w:cstheme="minorBidi"/>
          <w:sz w:val="21"/>
          <w:szCs w:val="22"/>
          <w14:ligatures w14:val="standardContextual"/>
        </w:rPr>
        <w:tab/>
      </w:r>
      <w:r>
        <w:rPr>
          <w:rStyle w:val="25"/>
        </w:rPr>
        <w:t>原理概要</w:t>
      </w:r>
      <w:r>
        <w:tab/>
      </w:r>
      <w:r>
        <w:fldChar w:fldCharType="begin"/>
      </w:r>
      <w:r>
        <w:instrText xml:space="preserve"> PAGEREF _Toc154242755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"_Toc154242756" </w:instrText>
      </w:r>
      <w:r>
        <w:fldChar w:fldCharType="separate"/>
      </w:r>
      <w:r>
        <w:rPr>
          <w:rStyle w:val="25"/>
        </w:rPr>
        <w:t>4.2</w:t>
      </w:r>
      <w:r>
        <w:rPr>
          <w:rFonts w:asciiTheme="minorHAnsi" w:hAnsiTheme="minorHAnsi" w:eastAsiaTheme="minorEastAsia" w:cstheme="minorBidi"/>
          <w:sz w:val="21"/>
          <w:szCs w:val="22"/>
          <w14:ligatures w14:val="standardContextual"/>
        </w:rPr>
        <w:tab/>
      </w:r>
      <w:r>
        <w:rPr>
          <w:rStyle w:val="25"/>
        </w:rPr>
        <w:t>质量定律</w:t>
      </w:r>
      <w:r>
        <w:tab/>
      </w:r>
      <w:r>
        <w:fldChar w:fldCharType="begin"/>
      </w:r>
      <w:r>
        <w:instrText xml:space="preserve"> PAGEREF _Toc154242756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"_Toc154242757" </w:instrText>
      </w:r>
      <w:r>
        <w:fldChar w:fldCharType="separate"/>
      </w:r>
      <w:r>
        <w:rPr>
          <w:rStyle w:val="25"/>
        </w:rPr>
        <w:t>4.3</w:t>
      </w:r>
      <w:r>
        <w:rPr>
          <w:rFonts w:asciiTheme="minorHAnsi" w:hAnsiTheme="minorHAnsi" w:eastAsiaTheme="minorEastAsia" w:cstheme="minorBidi"/>
          <w:sz w:val="21"/>
          <w:szCs w:val="22"/>
          <w14:ligatures w14:val="standardContextual"/>
        </w:rPr>
        <w:tab/>
      </w:r>
      <w:r>
        <w:rPr>
          <w:rStyle w:val="25"/>
        </w:rPr>
        <w:t>隔声量计算经验公式</w:t>
      </w:r>
      <w:r>
        <w:tab/>
      </w:r>
      <w:r>
        <w:fldChar w:fldCharType="begin"/>
      </w:r>
      <w:r>
        <w:instrText xml:space="preserve"> PAGEREF _Toc154242757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"_Toc154242758" </w:instrText>
      </w:r>
      <w:r>
        <w:fldChar w:fldCharType="separate"/>
      </w:r>
      <w:r>
        <w:rPr>
          <w:rStyle w:val="25"/>
        </w:rPr>
        <w:t>4.4</w:t>
      </w:r>
      <w:r>
        <w:rPr>
          <w:rFonts w:asciiTheme="minorHAnsi" w:hAnsiTheme="minorHAnsi" w:eastAsiaTheme="minorEastAsia" w:cstheme="minorBidi"/>
          <w:sz w:val="21"/>
          <w:szCs w:val="22"/>
          <w14:ligatures w14:val="standardContextual"/>
        </w:rPr>
        <w:tab/>
      </w:r>
      <w:r>
        <w:rPr>
          <w:rStyle w:val="25"/>
        </w:rPr>
        <w:t>单值评价量</w:t>
      </w:r>
      <w:r>
        <w:tab/>
      </w:r>
      <w:r>
        <w:fldChar w:fldCharType="begin"/>
      </w:r>
      <w:r>
        <w:instrText xml:space="preserve"> PAGEREF _Toc154242758 \h </w:instrText>
      </w:r>
      <w:r>
        <w:fldChar w:fldCharType="separate"/>
      </w:r>
      <w:r>
        <w:t>6</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"_Toc154242759" </w:instrText>
      </w:r>
      <w:r>
        <w:fldChar w:fldCharType="separate"/>
      </w:r>
      <w:r>
        <w:rPr>
          <w:rStyle w:val="25"/>
        </w:rPr>
        <w:t>4.5</w:t>
      </w:r>
      <w:r>
        <w:rPr>
          <w:rFonts w:asciiTheme="minorHAnsi" w:hAnsiTheme="minorHAnsi" w:eastAsiaTheme="minorEastAsia" w:cstheme="minorBidi"/>
          <w:sz w:val="21"/>
          <w:szCs w:val="22"/>
          <w14:ligatures w14:val="standardContextual"/>
        </w:rPr>
        <w:tab/>
      </w:r>
      <w:r>
        <w:rPr>
          <w:rStyle w:val="25"/>
        </w:rPr>
        <w:t>频谱修正量</w:t>
      </w:r>
      <w:r>
        <w:tab/>
      </w:r>
      <w:r>
        <w:fldChar w:fldCharType="begin"/>
      </w:r>
      <w:r>
        <w:instrText xml:space="preserve"> PAGEREF _Toc154242759 \h </w:instrText>
      </w:r>
      <w:r>
        <w:fldChar w:fldCharType="separate"/>
      </w:r>
      <w:r>
        <w:t>7</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"_Toc154242760" </w:instrText>
      </w:r>
      <w:r>
        <w:fldChar w:fldCharType="separate"/>
      </w:r>
      <w:r>
        <w:rPr>
          <w:rStyle w:val="25"/>
        </w:rPr>
        <w:t>5</w:t>
      </w:r>
      <w:r>
        <w:rPr>
          <w:rFonts w:asciiTheme="minorHAnsi" w:hAnsiTheme="minorHAnsi" w:eastAsiaTheme="minorEastAsia" w:cstheme="minorBidi"/>
          <w:b w:val="0"/>
          <w:bCs w:val="0"/>
          <w:sz w:val="21"/>
          <w:szCs w:val="22"/>
          <w14:ligatures w14:val="standardContextual"/>
        </w:rPr>
        <w:tab/>
      </w:r>
      <w:r>
        <w:rPr>
          <w:rStyle w:val="25"/>
        </w:rPr>
        <w:t>构件空气声隔声性能</w:t>
      </w:r>
      <w:r>
        <w:tab/>
      </w:r>
      <w:r>
        <w:fldChar w:fldCharType="begin"/>
      </w:r>
      <w:r>
        <w:instrText xml:space="preserve"> PAGEREF _Toc154242760 \h </w:instrText>
      </w:r>
      <w:r>
        <w:fldChar w:fldCharType="separate"/>
      </w:r>
      <w:r>
        <w:t>8</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"_Toc154242761" </w:instrText>
      </w:r>
      <w:r>
        <w:fldChar w:fldCharType="separate"/>
      </w:r>
      <w:r>
        <w:rPr>
          <w:rStyle w:val="25"/>
        </w:rPr>
        <w:t>5.1</w:t>
      </w:r>
      <w:r>
        <w:rPr>
          <w:rFonts w:asciiTheme="minorHAnsi" w:hAnsiTheme="minorHAnsi" w:eastAsiaTheme="minorEastAsia" w:cstheme="minorBidi"/>
          <w:sz w:val="21"/>
          <w:szCs w:val="22"/>
          <w14:ligatures w14:val="standardContextual"/>
        </w:rPr>
        <w:tab/>
      </w:r>
      <w:r>
        <w:rPr>
          <w:rStyle w:val="25"/>
        </w:rPr>
        <w:t>墙板的空气声隔声量</w:t>
      </w:r>
      <w:r>
        <w:tab/>
      </w:r>
      <w:r>
        <w:fldChar w:fldCharType="begin"/>
      </w:r>
      <w:r>
        <w:instrText xml:space="preserve"> PAGEREF _Toc154242761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"_Toc154242762" </w:instrText>
      </w:r>
      <w:r>
        <w:fldChar w:fldCharType="separate"/>
      </w:r>
      <w:r>
        <w:rPr>
          <w:rStyle w:val="25"/>
        </w:rPr>
        <w:t>5.1.1</w:t>
      </w:r>
      <w:r>
        <w:rPr>
          <w:rFonts w:asciiTheme="minorHAnsi" w:hAnsiTheme="minorHAnsi" w:eastAsiaTheme="minorEastAsia" w:cstheme="minorBidi"/>
          <w:sz w:val="21"/>
          <w:szCs w:val="22"/>
          <w14:ligatures w14:val="standardContextual"/>
        </w:rPr>
        <w:tab/>
      </w:r>
      <w:r>
        <w:rPr>
          <w:rStyle w:val="25"/>
        </w:rPr>
        <w:t>墙板构造做法</w:t>
      </w:r>
      <w:r>
        <w:tab/>
      </w:r>
      <w:r>
        <w:fldChar w:fldCharType="begin"/>
      </w:r>
      <w:r>
        <w:instrText xml:space="preserve"> PAGEREF _Toc154242762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14:ligatures w14:val="standardContextual"/>
        </w:rPr>
      </w:pPr>
      <w:r>
        <w:fldChar w:fldCharType="begin"/>
      </w:r>
      <w:r>
        <w:instrText xml:space="preserve"> HYPERLINK \l "_Toc154242763" </w:instrText>
      </w:r>
      <w:r>
        <w:fldChar w:fldCharType="separate"/>
      </w:r>
      <w:r>
        <w:rPr>
          <w:rStyle w:val="25"/>
        </w:rPr>
        <w:t>5.1.2</w:t>
      </w:r>
      <w:r>
        <w:rPr>
          <w:rFonts w:asciiTheme="minorHAnsi" w:hAnsiTheme="minorHAnsi" w:eastAsiaTheme="minorEastAsia" w:cstheme="minorBidi"/>
          <w:sz w:val="21"/>
          <w:szCs w:val="22"/>
          <w14:ligatures w14:val="standardContextual"/>
        </w:rPr>
        <w:tab/>
      </w:r>
      <w:r>
        <w:rPr>
          <w:rStyle w:val="25"/>
        </w:rPr>
        <w:t>墙板空气声隔声性能</w:t>
      </w:r>
      <w:r>
        <w:tab/>
      </w:r>
      <w:r>
        <w:fldChar w:fldCharType="begin"/>
      </w:r>
      <w:r>
        <w:instrText xml:space="preserve"> PAGEREF _Toc154242763 \h </w:instrText>
      </w:r>
      <w:r>
        <w:fldChar w:fldCharType="separate"/>
      </w:r>
      <w:r>
        <w:t>8</w:t>
      </w:r>
      <w:r>
        <w:fldChar w:fldCharType="end"/>
      </w:r>
      <w:r>
        <w:fldChar w:fldCharType="end"/>
      </w:r>
    </w:p>
    <w:p>
      <w:pPr>
        <w:pStyle w:val="20"/>
        <w:rPr>
          <w:rFonts w:asciiTheme="minorHAnsi" w:hAnsiTheme="minorHAnsi" w:eastAsiaTheme="minorEastAsia" w:cstheme="minorBidi"/>
          <w:sz w:val="21"/>
          <w:szCs w:val="22"/>
          <w14:ligatures w14:val="standardContextual"/>
        </w:rPr>
      </w:pPr>
      <w:r>
        <w:fldChar w:fldCharType="begin"/>
      </w:r>
      <w:r>
        <w:instrText xml:space="preserve"> HYPERLINK \l "_Toc154242764" </w:instrText>
      </w:r>
      <w:r>
        <w:fldChar w:fldCharType="separate"/>
      </w:r>
      <w:r>
        <w:rPr>
          <w:rStyle w:val="25"/>
        </w:rPr>
        <w:t>5.2</w:t>
      </w:r>
      <w:r>
        <w:rPr>
          <w:rFonts w:asciiTheme="minorHAnsi" w:hAnsiTheme="minorHAnsi" w:eastAsiaTheme="minorEastAsia" w:cstheme="minorBidi"/>
          <w:sz w:val="21"/>
          <w:szCs w:val="22"/>
          <w14:ligatures w14:val="standardContextual"/>
        </w:rPr>
        <w:tab/>
      </w:r>
      <w:r>
        <w:rPr>
          <w:rStyle w:val="25"/>
        </w:rPr>
        <w:t>门窗的空气声隔声量</w:t>
      </w:r>
      <w:r>
        <w:tab/>
      </w:r>
      <w:r>
        <w:fldChar w:fldCharType="begin"/>
      </w:r>
      <w:r>
        <w:instrText xml:space="preserve"> PAGEREF _Toc154242764 \h </w:instrText>
      </w:r>
      <w:r>
        <w:fldChar w:fldCharType="separate"/>
      </w:r>
      <w:r>
        <w:t>9</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"_Toc154242765" </w:instrText>
      </w:r>
      <w:r>
        <w:fldChar w:fldCharType="separate"/>
      </w:r>
      <w:r>
        <w:rPr>
          <w:rStyle w:val="25"/>
        </w:rPr>
        <w:t>6</w:t>
      </w:r>
      <w:r>
        <w:rPr>
          <w:rFonts w:asciiTheme="minorHAnsi" w:hAnsiTheme="minorHAnsi" w:eastAsiaTheme="minorEastAsia" w:cstheme="minorBidi"/>
          <w:b w:val="0"/>
          <w:bCs w:val="0"/>
          <w:sz w:val="21"/>
          <w:szCs w:val="22"/>
          <w14:ligatures w14:val="standardContextual"/>
        </w:rPr>
        <w:tab/>
      </w:r>
      <w:r>
        <w:rPr>
          <w:rStyle w:val="25"/>
        </w:rPr>
        <w:t>楼板撞击声隔声性能</w:t>
      </w:r>
      <w:r>
        <w:tab/>
      </w:r>
      <w:r>
        <w:fldChar w:fldCharType="begin"/>
      </w:r>
      <w:r>
        <w:instrText xml:space="preserve"> PAGEREF _Toc154242765 \h </w:instrText>
      </w:r>
      <w:r>
        <w:fldChar w:fldCharType="separate"/>
      </w:r>
      <w:r>
        <w:t>9</w:t>
      </w:r>
      <w:r>
        <w:fldChar w:fldCharType="end"/>
      </w:r>
      <w:r>
        <w:fldChar w:fldCharType="end"/>
      </w:r>
    </w:p>
    <w:p>
      <w:pPr>
        <w:pStyle w:val="18"/>
        <w:rPr>
          <w:rFonts w:asciiTheme="minorHAnsi" w:hAnsiTheme="minorHAnsi" w:eastAsiaTheme="minorEastAsia" w:cstheme="minorBidi"/>
          <w:b w:val="0"/>
          <w:bCs w:val="0"/>
          <w:sz w:val="21"/>
          <w:szCs w:val="22"/>
          <w14:ligatures w14:val="standardContextual"/>
        </w:rPr>
      </w:pPr>
      <w:r>
        <w:fldChar w:fldCharType="begin"/>
      </w:r>
      <w:r>
        <w:instrText xml:space="preserve"> HYPERLINK \l "_Toc154242766" </w:instrText>
      </w:r>
      <w:r>
        <w:fldChar w:fldCharType="separate"/>
      </w:r>
      <w:r>
        <w:rPr>
          <w:rStyle w:val="25"/>
        </w:rPr>
        <w:t>7</w:t>
      </w:r>
      <w:r>
        <w:rPr>
          <w:rFonts w:asciiTheme="minorHAnsi" w:hAnsiTheme="minorHAnsi" w:eastAsiaTheme="minorEastAsia" w:cstheme="minorBidi"/>
          <w:b w:val="0"/>
          <w:bCs w:val="0"/>
          <w:sz w:val="21"/>
          <w:szCs w:val="22"/>
          <w14:ligatures w14:val="standardContextual"/>
        </w:rPr>
        <w:tab/>
      </w:r>
      <w:r>
        <w:rPr>
          <w:rStyle w:val="25"/>
        </w:rPr>
        <w:t>结论</w:t>
      </w:r>
      <w:r>
        <w:tab/>
      </w:r>
      <w:r>
        <w:fldChar w:fldCharType="begin"/>
      </w:r>
      <w:r>
        <w:instrText xml:space="preserve"> PAGEREF _Toc154242766 \h </w:instrText>
      </w:r>
      <w:r>
        <w:fldChar w:fldCharType="separate"/>
      </w:r>
      <w:r>
        <w:t>9</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ind w:left="669" w:hanging="669"/>
      </w:pPr>
      <w:bookmarkStart w:id="11" w:name="_Toc154242751"/>
      <w:r>
        <w:rPr>
          <w:rFonts w:hint="eastAsia"/>
        </w:rPr>
        <w:t>建筑概况</w:t>
      </w:r>
      <w:bookmarkEnd w:id="11"/>
    </w:p>
    <w:p>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工程名称</w:t>
            </w:r>
          </w:p>
        </w:tc>
        <w:tc>
          <w:tcPr>
            <w:tcW w:w="6056" w:type="dxa"/>
          </w:tcPr>
          <w:p>
            <w:pPr>
              <w:pStyle w:val="3"/>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建筑面积</w:t>
            </w:r>
            <w:r>
              <w:t>(m</w:t>
            </w:r>
            <w:r>
              <w:rPr>
                <w:vertAlign w:val="superscript"/>
              </w:rPr>
              <w:t>2</w:t>
            </w:r>
            <w:r>
              <w:t>)</w:t>
            </w:r>
          </w:p>
        </w:tc>
        <w:tc>
          <w:tcPr>
            <w:tcW w:w="6056" w:type="dxa"/>
          </w:tcPr>
          <w:p>
            <w:pPr>
              <w:pStyle w:val="3"/>
            </w:pPr>
            <w:r>
              <w:rPr>
                <w:rFonts w:hint="eastAsia"/>
              </w:rPr>
              <w:t xml:space="preserve">地上  </w:t>
            </w:r>
            <w:bookmarkStart w:id="13" w:name="地上建筑面积"/>
            <w:r>
              <w:t>4168</w:t>
            </w:r>
            <w:bookmarkEnd w:id="13"/>
            <w:r>
              <w:rPr>
                <w:rFonts w:hint="eastAsia"/>
              </w:rPr>
              <w:t xml:space="preserve">        地下</w:t>
            </w:r>
            <w:bookmarkStart w:id="14" w:name="地下建筑面积"/>
            <w:r>
              <w:t>0</w:t>
            </w:r>
            <w:bookmarkEnd w:id="14"/>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建筑层数</w:t>
            </w:r>
          </w:p>
        </w:tc>
        <w:tc>
          <w:tcPr>
            <w:tcW w:w="6056" w:type="dxa"/>
          </w:tcPr>
          <w:p>
            <w:pPr>
              <w:pStyle w:val="3"/>
            </w:pPr>
            <w:r>
              <w:rPr>
                <w:rFonts w:hint="eastAsia"/>
              </w:rPr>
              <w:t xml:space="preserve">地上 </w:t>
            </w:r>
            <w:bookmarkStart w:id="15" w:name="地上建筑层数"/>
            <w:r>
              <w:t>2</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建筑高度（</w:t>
            </w:r>
            <w:r>
              <w:t>m</w:t>
            </w:r>
            <w:r>
              <w:rPr>
                <w:rFonts w:hint="eastAsia"/>
              </w:rPr>
              <w:t>）</w:t>
            </w:r>
          </w:p>
        </w:tc>
        <w:tc>
          <w:tcPr>
            <w:tcW w:w="6056" w:type="dxa"/>
          </w:tcPr>
          <w:p>
            <w:pPr>
              <w:pStyle w:val="3"/>
            </w:pPr>
            <w:r>
              <w:rPr>
                <w:rFonts w:hint="eastAsia"/>
              </w:rPr>
              <w:t>地上</w:t>
            </w:r>
            <w:bookmarkStart w:id="17" w:name="地上建筑高度"/>
            <w:r>
              <w:t>9.0</w:t>
            </w:r>
            <w:bookmarkEnd w:id="17"/>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北向角度（°）</w:t>
            </w:r>
          </w:p>
        </w:tc>
        <w:tc>
          <w:tcPr>
            <w:tcW w:w="6056" w:type="dxa"/>
          </w:tcPr>
          <w:p>
            <w:pPr>
              <w:pStyle w:val="3"/>
            </w:pPr>
            <w:bookmarkStart w:id="18" w:name="北向角度"/>
            <w:r>
              <w:t>90</w:t>
            </w:r>
            <w:bookmarkEnd w:id="18"/>
          </w:p>
        </w:tc>
      </w:tr>
    </w:tbl>
    <w:p>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pPr>
        <w:jc w:val="center"/>
        <w:rPr>
          <w:b/>
          <w:i/>
          <w:lang w:val="en-US"/>
        </w:rPr>
      </w:pPr>
      <w:r>
        <w:rPr>
          <w:rFonts w:hint="eastAsia"/>
          <w:lang w:val="en-US"/>
        </w:rPr>
        <w:t>图</w:t>
      </w:r>
      <w:r>
        <w:rPr>
          <w:lang w:val="en-US"/>
        </w:rPr>
        <w:t xml:space="preserve">1-1 </w:t>
      </w:r>
      <w:r>
        <w:rPr>
          <w:rFonts w:hint="eastAsia"/>
          <w:lang w:val="en-US"/>
        </w:rPr>
        <w:t>建筑模型</w:t>
      </w:r>
    </w:p>
    <w:p>
      <w:pPr>
        <w:pStyle w:val="2"/>
        <w:ind w:left="669" w:hanging="669"/>
      </w:pPr>
      <w:bookmarkStart w:id="21" w:name="_Toc154242752"/>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w:t>
      </w:r>
      <w:r>
        <w:rPr>
          <w:lang w:val="en-US"/>
        </w:rPr>
        <w:t>GB 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numPr>
          <w:ilvl w:val="0"/>
          <w:numId w:val="2"/>
        </w:numPr>
        <w:rPr>
          <w:lang w:val="en-US"/>
        </w:rPr>
      </w:pPr>
      <w:r>
        <w:rPr>
          <w:rFonts w:hint="eastAsia"/>
          <w:lang w:val="en-US"/>
        </w:rPr>
        <w:t>《建筑设计资料集（</w:t>
      </w:r>
      <w:r>
        <w:rPr>
          <w:lang w:val="en-US"/>
        </w:rPr>
        <w:t>2</w:t>
      </w:r>
      <w:r>
        <w:rPr>
          <w:rFonts w:hint="eastAsia"/>
          <w:lang w:val="en-US"/>
        </w:rPr>
        <w:t>）第二版》</w:t>
      </w:r>
    </w:p>
    <w:p>
      <w:pPr>
        <w:pStyle w:val="2"/>
        <w:ind w:left="669" w:hanging="669"/>
      </w:pPr>
      <w:bookmarkStart w:id="23" w:name="_Toc154242753"/>
      <w:r>
        <w:rPr>
          <w:rFonts w:hint="eastAsia"/>
        </w:rPr>
        <w:t>标准</w:t>
      </w:r>
      <w:r>
        <w:t>要求</w:t>
      </w:r>
      <w:bookmarkEnd w:id="23"/>
    </w:p>
    <w:p>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Cs/>
        </w:rPr>
      </w:pPr>
      <w:r>
        <w:rPr>
          <w:rFonts w:hint="eastAsia"/>
          <w:bCs/>
        </w:rPr>
        <w:t>控制项要求</w:t>
      </w:r>
      <w:r>
        <w:rPr>
          <w:bCs/>
        </w:rPr>
        <w:t xml:space="preserve">： </w:t>
      </w:r>
    </w:p>
    <w:p>
      <w:pPr>
        <w:pStyle w:val="3"/>
        <w:ind w:left="360" w:leftChars="200"/>
      </w:pPr>
      <w:r>
        <w:rPr>
          <w:rFonts w:hint="eastAsia"/>
        </w:rPr>
        <w:t>5.1.4 主要功能房间的室内噪声级和隔声性能应符合下列规定：</w:t>
      </w:r>
    </w:p>
    <w:p>
      <w:pPr>
        <w:pStyle w:val="3"/>
        <w:ind w:left="720" w:leftChars="400"/>
      </w:pPr>
      <w:r>
        <w:rPr>
          <w:rFonts w:hint="eastAsia"/>
        </w:rPr>
        <w:t>1 室内噪声级应满足现行国家标准《民用建筑隔声设计规范》GB 50118 中的低限要求；</w:t>
      </w:r>
    </w:p>
    <w:p>
      <w:pPr>
        <w:pStyle w:val="3"/>
        <w:ind w:left="720" w:leftChars="400"/>
      </w:pPr>
      <w:r>
        <w:rPr>
          <w:rFonts w:hint="eastAsia"/>
        </w:rPr>
        <w:t>2 外墙、隔墙、楼板和门窗的隔声性能应满足现行国家标准《民用建筑隔声设计规范》GB 50118 中的低限要求。</w:t>
      </w:r>
    </w:p>
    <w:p>
      <w:pPr>
        <w:pStyle w:val="3"/>
        <w:numPr>
          <w:ilvl w:val="0"/>
          <w:numId w:val="4"/>
        </w:numPr>
        <w:rPr>
          <w:bCs/>
        </w:rPr>
      </w:pPr>
      <w:r>
        <w:rPr>
          <w:rFonts w:hint="eastAsia"/>
          <w:bCs/>
        </w:rPr>
        <w:t>评分项要求</w:t>
      </w:r>
      <w:r>
        <w:rPr>
          <w:bCs/>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 构件及相邻房间之间的空气声隔声性能达到现行国家标准《民用建筑隔声设计规范》GB50118中的低限标准限值和高要求标准限值的平均值，得3分；达到高要求标准限值，得5分；</w:t>
      </w:r>
    </w:p>
    <w:p>
      <w:pPr>
        <w:pStyle w:val="3"/>
        <w:ind w:left="720" w:leftChars="400"/>
      </w:pPr>
      <w:r>
        <w:rPr>
          <w:rFonts w:hint="eastAsia"/>
        </w:rPr>
        <w:t>2 楼板的撞击声隔声性能达到现行国家标准《民用建筑隔声设计规范》GB50118中的低限标准限值和高要求标准限值的平均值，得3分；达到高要求标准限值，得5分。</w:t>
      </w:r>
    </w:p>
    <w:p>
      <w:pPr>
        <w:pStyle w:val="2"/>
        <w:ind w:left="669" w:hanging="669"/>
        <w:rPr>
          <w:kern w:val="2"/>
        </w:rPr>
      </w:pPr>
      <w:bookmarkStart w:id="24" w:name="_Toc154242754"/>
      <w:bookmarkStart w:id="25" w:name="_Toc438716944"/>
      <w:r>
        <w:rPr>
          <w:rFonts w:hint="eastAsia"/>
          <w:kern w:val="2"/>
        </w:rPr>
        <w:t>隔声理论概述</w:t>
      </w:r>
      <w:bookmarkEnd w:id="24"/>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bookmarkStart w:id="26" w:name="_Toc154242755"/>
      <w:r>
        <w:rPr>
          <w:rFonts w:hint="eastAsia"/>
        </w:rPr>
        <w:t>原理概要</w:t>
      </w:r>
      <w:bookmarkEnd w:id="26"/>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jc w:val="center"/>
        <w:rPr>
          <w:rFonts w:ascii="Calibri" w:hAnsi="Calibri"/>
          <w:kern w:val="2"/>
          <w:szCs w:val="22"/>
          <w:lang w:val="en-US"/>
        </w:rPr>
      </w:pPr>
      <w:r>
        <w:rPr>
          <w:rFonts w:ascii="宋体" w:hAnsi="宋体"/>
        </w:rPr>
        <w:object>
          <v:shape id="_x0000_i1025" o:spt="75" type="#_x0000_t75" style="height:30.5pt;width:56.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pStyle w:val="3"/>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7" w:name="_Toc503800603"/>
      <w:bookmarkStart w:id="28" w:name="_Toc503275877"/>
      <w:bookmarkStart w:id="29" w:name="_Toc503800668"/>
      <w:bookmarkStart w:id="30" w:name="_Toc154242756"/>
      <w:r>
        <w:rPr>
          <w:rFonts w:hint="eastAsia"/>
        </w:rPr>
        <w:t>质量定律</w:t>
      </w:r>
      <w:bookmarkEnd w:id="27"/>
      <w:bookmarkEnd w:id="28"/>
      <w:bookmarkEnd w:id="29"/>
      <w:bookmarkEnd w:id="30"/>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rPr>
      </w:pPr>
      <w:r>
        <w:rPr>
          <w:rFonts w:ascii="宋体" w:hAnsi="宋体"/>
        </w:rPr>
        <w:object>
          <v:shape id="_x0000_i1026" o:spt="75" type="#_x0000_t75" style="height:41pt;width:107.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pPr>
        <w:pStyle w:val="3"/>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jc w:val="center"/>
      </w:pPr>
      <w:r>
        <w:rPr>
          <w:lang w:val="en-US"/>
        </w:rPr>
        <w:drawing>
          <wp:inline distT="0" distB="0" distL="0" distR="0">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2409936" cy="445851"/>
                    </a:xfrm>
                    <a:prstGeom prst="rect">
                      <a:avLst/>
                    </a:prstGeom>
                  </pic:spPr>
                </pic:pic>
              </a:graphicData>
            </a:graphic>
          </wp:inline>
        </w:drawing>
      </w:r>
    </w:p>
    <w:p>
      <w:pPr>
        <w:pStyle w:val="13"/>
        <w:spacing w:line="240" w:lineRule="auto"/>
        <w:ind w:firstLine="420"/>
        <w:rPr>
          <w:kern w:val="0"/>
          <w:sz w:val="21"/>
          <w:szCs w:val="21"/>
          <w:lang w:val="en-GB"/>
        </w:rPr>
      </w:pPr>
      <w:r>
        <w:rPr>
          <w:rFonts w:hint="eastAsia"/>
          <w:kern w:val="0"/>
          <w:sz w:val="21"/>
          <w:szCs w:val="21"/>
          <w:lang w:val="en-GB"/>
        </w:rPr>
        <w:t>如果声波并非垂直入射，而是无规入射时，则墙的隔声量为：</w:t>
      </w:r>
    </w:p>
    <w:p>
      <w:pPr>
        <w:jc w:val="center"/>
        <w:rPr>
          <w:rFonts w:ascii="宋体" w:hAnsi="宋体"/>
        </w:rPr>
      </w:pPr>
      <w:r>
        <w:rPr>
          <w:lang w:val="en-US"/>
        </w:rPr>
        <w:drawing>
          <wp:inline distT="0" distB="0" distL="0" distR="0">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bookmarkStart w:id="31" w:name="_Toc154242757"/>
      <w:r>
        <w:t>隔声</w:t>
      </w:r>
      <w:r>
        <w:rPr>
          <w:rFonts w:hint="eastAsia"/>
        </w:rPr>
        <w:t>量计算经验</w:t>
      </w:r>
      <w:r>
        <w:t>公式</w:t>
      </w:r>
      <w:bookmarkEnd w:id="31"/>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ind w:firstLine="420" w:firstLineChars="200"/>
        <w:jc w:val="center"/>
      </w:pPr>
      <w:r>
        <w:rPr>
          <w:lang w:val="en-US"/>
        </w:rPr>
        <w:drawing>
          <wp:inline distT="0" distB="0" distL="0" distR="0">
            <wp:extent cx="3360420" cy="5156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3431722" cy="526650"/>
                    </a:xfrm>
                    <a:prstGeom prst="rect">
                      <a:avLst/>
                    </a:prstGeom>
                  </pic:spPr>
                </pic:pic>
              </a:graphicData>
            </a:graphic>
          </wp:inline>
        </w:drawing>
      </w:r>
    </w:p>
    <w:p>
      <w:pPr>
        <w:pStyle w:val="3"/>
        <w:ind w:firstLine="420" w:firstLineChars="200"/>
        <w:jc w:val="center"/>
      </w:pPr>
    </w:p>
    <w:p>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pPr>
        <w:jc w:val="center"/>
        <w:rPr>
          <w:lang w:val="en-US"/>
        </w:rPr>
      </w:pPr>
      <w:r>
        <w:rPr>
          <w:rFonts w:hint="eastAsia"/>
          <w:lang w:val="en-US"/>
        </w:rPr>
        <w:t>图4-5构件500Hz隔声曲线</w:t>
      </w:r>
    </w:p>
    <w:p>
      <w:pPr>
        <w:pStyle w:val="3"/>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bookmarkStart w:id="32" w:name="_Toc154242758"/>
      <w:r>
        <w:rPr>
          <w:rFonts w:hint="eastAsia"/>
        </w:rPr>
        <w:t>单值评价量</w:t>
      </w:r>
      <w:bookmarkEnd w:id="32"/>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jc w:val="center"/>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846371" cy="471336"/>
                    </a:xfrm>
                    <a:prstGeom prst="rect">
                      <a:avLst/>
                    </a:prstGeom>
                  </pic:spPr>
                </pic:pic>
              </a:graphicData>
            </a:graphic>
          </wp:inline>
        </w:drawing>
      </w:r>
    </w:p>
    <w:p>
      <w:pPr>
        <w:pStyle w:val="3"/>
        <w:jc w:val="center"/>
        <w:rPr>
          <w:sz w:val="18"/>
          <w:szCs w:val="18"/>
        </w:rPr>
      </w:pPr>
      <w:r>
        <w:rPr>
          <w:lang w:val="en-US"/>
        </w:rPr>
        <w:drawing>
          <wp:inline distT="0" distB="0" distL="0" distR="0">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0"/>
                    <a:stretch>
                      <a:fillRect/>
                    </a:stretch>
                  </pic:blipFill>
                  <pic:spPr>
                    <a:xfrm>
                      <a:off x="0" y="0"/>
                      <a:ext cx="2433443" cy="563680"/>
                    </a:xfrm>
                    <a:prstGeom prst="rect">
                      <a:avLst/>
                    </a:prstGeom>
                  </pic:spPr>
                </pic:pic>
              </a:graphicData>
            </a:graphic>
          </wp:inline>
        </w:drawing>
      </w:r>
    </w:p>
    <w:p>
      <w:pPr>
        <w:ind w:left="360" w:leftChars="200" w:firstLine="400" w:firstLineChars="200"/>
        <w:rPr>
          <w:sz w:val="20"/>
          <w:szCs w:val="21"/>
        </w:rPr>
      </w:pPr>
      <w:r>
        <w:rPr>
          <w:rFonts w:hint="eastAsia"/>
          <w:sz w:val="20"/>
          <w:szCs w:val="21"/>
        </w:rPr>
        <w:t>式中：</w:t>
      </w:r>
      <w:r>
        <w:rPr>
          <w:position w:val="-12"/>
          <w:sz w:val="20"/>
          <w:szCs w:val="21"/>
        </w:rPr>
        <w:object>
          <v:shape id="_x0000_i1027" o:spt="75" type="#_x0000_t75" style="height:16.5pt;width:16.5pt;" o:ole="t" filled="f" o:preferrelative="t" stroked="f" coordsize="21600,21600">
            <v:path/>
            <v:fill on="f" focussize="0,0"/>
            <v:stroke on="f" joinstyle="miter"/>
            <v:imagedata r:id="rId22" o:title=""/>
            <o:lock v:ext="edit" aspectratio="t"/>
            <w10:wrap type="none"/>
            <w10:anchorlock/>
          </v:shape>
          <o:OLEObject Type="Embed" ProgID="Equation.DSMT4" ShapeID="_x0000_i1027" DrawAspect="Content" ObjectID="_1468075727" r:id="rId21">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28" o:spt="75" type="#_x0000_t75" style="height:16.5pt;width:12pt;" o:ole="t" filled="f" o:preferrelative="t" stroked="f" coordsize="21600,21600">
            <v:path/>
            <v:fill on="f" focussize="0,0"/>
            <v:stroke on="f" joinstyle="miter"/>
            <v:imagedata r:id="rId24" o:title=""/>
            <o:lock v:ext="edit" aspectratio="t"/>
            <w10:wrap type="none"/>
            <w10:anchorlock/>
          </v:shape>
          <o:OLEObject Type="Embed" ProgID="Equation.DSMT4" ShapeID="_x0000_i1028" DrawAspect="Content" ObjectID="_1468075728" r:id="rId23">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29" o:spt="75" type="#_x0000_t75" style="height:14.5pt;width:12pt;" o:ole="t" filled="f" o:preferrelative="t" stroked="f" coordsize="21600,21600">
            <v:path/>
            <v:fill on="f" focussize="0,0"/>
            <v:stroke on="f" joinstyle="miter"/>
            <v:imagedata r:id="rId26" o:title=""/>
            <o:lock v:ext="edit" aspectratio="t"/>
            <w10:wrap type="none"/>
            <w10:anchorlock/>
          </v:shape>
          <o:OLEObject Type="Embed" ProgID="Equation.DSMT4" ShapeID="_x0000_i1029" DrawAspect="Content" ObjectID="_1468075729" r:id="rId25">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7"/>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pPr>
        <w:pStyle w:val="3"/>
        <w:jc w:val="center"/>
      </w:pPr>
      <w:r>
        <w:rPr>
          <w:lang w:val="en-US"/>
        </w:rPr>
        <w:drawing>
          <wp:inline distT="0" distB="0" distL="0" distR="0">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8"/>
                    <a:stretch>
                      <a:fillRect/>
                    </a:stretch>
                  </pic:blipFill>
                  <pic:spPr>
                    <a:xfrm>
                      <a:off x="0" y="0"/>
                      <a:ext cx="2977876" cy="689095"/>
                    </a:xfrm>
                    <a:prstGeom prst="rect">
                      <a:avLst/>
                    </a:prstGeom>
                  </pic:spPr>
                </pic:pic>
              </a:graphicData>
            </a:graphic>
          </wp:inline>
        </w:drawing>
      </w:r>
    </w:p>
    <w:p>
      <w:pPr>
        <w:pStyle w:val="3"/>
        <w:ind w:left="900" w:leftChars="500"/>
        <w:rPr>
          <w:kern w:val="2"/>
          <w:sz w:val="20"/>
          <w:lang w:val="en-US"/>
        </w:rPr>
      </w:pPr>
      <w:r>
        <w:rPr>
          <w:rFonts w:hint="eastAsia"/>
          <w:kern w:val="2"/>
          <w:sz w:val="20"/>
          <w:lang w:val="en-US"/>
        </w:rPr>
        <w:t>式中：</w:t>
      </w:r>
      <w:r>
        <w:rPr>
          <w:position w:val="-12"/>
          <w:sz w:val="20"/>
        </w:rPr>
        <w:object>
          <v:shape id="_x0000_i1030" o:spt="75" type="#_x0000_t75" style="height:16.5pt;width:19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9">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1" o:spt="75" type="#_x0000_t75" style="height:16.5pt;width:12pt;" o:ole="t" filled="f" o:preferrelative="t" stroked="f" coordsize="21600,21600">
            <v:path/>
            <v:fill on="f" focussize="0,0"/>
            <v:stroke on="f" joinstyle="miter"/>
            <v:imagedata r:id="rId26" o:title=""/>
            <o:lock v:ext="edit" aspectratio="t"/>
            <w10:wrap type="none"/>
            <w10:anchorlock/>
          </v:shape>
          <o:OLEObject Type="Embed" ProgID="Equation.DSMT4" ShapeID="_x0000_i1031" DrawAspect="Content" ObjectID="_1468075731" r:id="rId30">
            <o:LockedField>false</o:LockedField>
          </o:OLEObject>
        </w:object>
      </w:r>
      <w:r>
        <w:rPr>
          <w:rFonts w:hint="eastAsia"/>
          <w:sz w:val="20"/>
        </w:rPr>
        <w:t xml:space="preserve">— </w:t>
      </w:r>
      <w:r>
        <w:rPr>
          <w:rFonts w:hint="eastAsia"/>
          <w:kern w:val="2"/>
          <w:sz w:val="20"/>
          <w:lang w:val="en-US"/>
        </w:rPr>
        <w:t>第i个频带的撞击声压级，精确到0.1dB。</w:t>
      </w:r>
    </w:p>
    <w:p>
      <w:pPr>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倍频程频率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空气声基准值</w:t>
            </w:r>
          </w:p>
        </w:tc>
        <w:tc>
          <w:tcPr>
            <w:tcW w:w="1416" w:type="dxa"/>
            <w:vAlign w:val="center"/>
          </w:tcPr>
          <w:p>
            <w:pPr>
              <w:spacing w:line="360" w:lineRule="exact"/>
              <w:jc w:val="center"/>
            </w:pPr>
            <w:r>
              <w:rPr>
                <w:rFonts w:hint="eastAsia"/>
              </w:rPr>
              <w:t>-16</w:t>
            </w:r>
          </w:p>
        </w:tc>
        <w:tc>
          <w:tcPr>
            <w:tcW w:w="1416" w:type="dxa"/>
            <w:vAlign w:val="center"/>
          </w:tcPr>
          <w:p>
            <w:pPr>
              <w:spacing w:line="360" w:lineRule="exact"/>
              <w:jc w:val="center"/>
            </w:pPr>
            <w:r>
              <w:rPr>
                <w:rFonts w:hint="eastAsia"/>
              </w:rPr>
              <w:t>-7</w:t>
            </w:r>
          </w:p>
        </w:tc>
        <w:tc>
          <w:tcPr>
            <w:tcW w:w="1416" w:type="dxa"/>
            <w:vAlign w:val="center"/>
          </w:tcPr>
          <w:p>
            <w:pPr>
              <w:spacing w:line="360" w:lineRule="exact"/>
              <w:jc w:val="center"/>
            </w:pPr>
            <w:r>
              <w:rPr>
                <w:rFonts w:hint="eastAsia"/>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撞击声基准值</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0</w:t>
            </w:r>
          </w:p>
        </w:tc>
        <w:tc>
          <w:tcPr>
            <w:tcW w:w="1416" w:type="dxa"/>
            <w:vAlign w:val="center"/>
          </w:tcPr>
          <w:p>
            <w:pPr>
              <w:spacing w:line="360" w:lineRule="exact"/>
              <w:jc w:val="center"/>
            </w:pPr>
            <w:r>
              <w:rPr>
                <w:rFonts w:hint="eastAsia"/>
                <w:lang w:val="en-US"/>
              </w:rPr>
              <w:t>-3</w:t>
            </w:r>
          </w:p>
        </w:tc>
        <w:tc>
          <w:tcPr>
            <w:tcW w:w="1418" w:type="dxa"/>
            <w:vAlign w:val="center"/>
          </w:tcPr>
          <w:p>
            <w:pPr>
              <w:spacing w:line="360" w:lineRule="exact"/>
              <w:jc w:val="center"/>
            </w:pPr>
            <w:r>
              <w:rPr>
                <w:rFonts w:hint="eastAsia"/>
                <w:lang w:val="en-US"/>
              </w:rPr>
              <w:t>-16</w:t>
            </w:r>
          </w:p>
        </w:tc>
      </w:tr>
    </w:tbl>
    <w:p>
      <w:pPr>
        <w:pStyle w:val="4"/>
      </w:pPr>
      <w:bookmarkStart w:id="33" w:name="_Toc154242759"/>
      <w:r>
        <w:rPr>
          <w:rFonts w:hint="eastAsia"/>
        </w:rPr>
        <w:t>频谱修正量</w:t>
      </w:r>
      <w:bookmarkEnd w:id="33"/>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center"/>
      </w:pPr>
      <w:r>
        <w:rPr>
          <w:lang w:val="en-US"/>
        </w:rPr>
        <w:drawing>
          <wp:inline distT="0" distB="0" distL="0" distR="0">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1"/>
                    <a:stretch>
                      <a:fillRect/>
                    </a:stretch>
                  </pic:blipFill>
                  <pic:spPr>
                    <a:xfrm>
                      <a:off x="0" y="0"/>
                      <a:ext cx="2104989" cy="291685"/>
                    </a:xfrm>
                    <a:prstGeom prst="rect">
                      <a:avLst/>
                    </a:prstGeom>
                  </pic:spPr>
                </pic:pic>
              </a:graphicData>
            </a:graphic>
          </wp:inline>
        </w:drawing>
      </w: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sz w:val="18"/>
                <w:szCs w:val="18"/>
                <w:lang w:val="en-US"/>
              </w:rPr>
            </w:pPr>
            <w:r>
              <w:rPr>
                <w:color w:val="000000"/>
                <w:sz w:val="18"/>
                <w:szCs w:val="18"/>
              </w:rPr>
              <w:t>频率</w:t>
            </w:r>
          </w:p>
        </w:tc>
        <w:tc>
          <w:tcPr>
            <w:tcW w:w="1227" w:type="dxa"/>
            <w:shd w:val="clear" w:color="auto" w:fill="D9D9D9"/>
            <w:vAlign w:val="center"/>
          </w:tcPr>
          <w:p>
            <w:pPr>
              <w:pStyle w:val="3"/>
              <w:spacing w:line="360" w:lineRule="exact"/>
              <w:jc w:val="center"/>
              <w:rPr>
                <w:sz w:val="18"/>
                <w:szCs w:val="18"/>
                <w:lang w:val="en-US"/>
              </w:rPr>
            </w:pPr>
            <w:r>
              <w:rPr>
                <w:color w:val="000000"/>
                <w:sz w:val="18"/>
                <w:szCs w:val="18"/>
              </w:rPr>
              <w:t>125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250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500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1000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C的频谱1</w:t>
            </w:r>
          </w:p>
        </w:tc>
        <w:tc>
          <w:tcPr>
            <w:tcW w:w="1227" w:type="dxa"/>
            <w:vAlign w:val="center"/>
          </w:tcPr>
          <w:p>
            <w:pPr>
              <w:pStyle w:val="3"/>
              <w:spacing w:line="360" w:lineRule="exact"/>
              <w:jc w:val="center"/>
              <w:rPr>
                <w:color w:val="000000"/>
                <w:sz w:val="18"/>
                <w:szCs w:val="18"/>
              </w:rPr>
            </w:pPr>
            <w:r>
              <w:rPr>
                <w:color w:val="000000"/>
                <w:sz w:val="18"/>
                <w:szCs w:val="18"/>
              </w:rPr>
              <w:t>-21</w:t>
            </w:r>
          </w:p>
        </w:tc>
        <w:tc>
          <w:tcPr>
            <w:tcW w:w="1228"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-8</w:t>
            </w:r>
          </w:p>
        </w:tc>
        <w:tc>
          <w:tcPr>
            <w:tcW w:w="1228" w:type="dxa"/>
            <w:vAlign w:val="center"/>
          </w:tcPr>
          <w:p>
            <w:pPr>
              <w:pStyle w:val="3"/>
              <w:spacing w:line="360" w:lineRule="exact"/>
              <w:jc w:val="center"/>
              <w:rPr>
                <w:color w:val="000000"/>
                <w:sz w:val="18"/>
                <w:szCs w:val="18"/>
              </w:rPr>
            </w:pPr>
            <w:r>
              <w:rPr>
                <w:color w:val="000000"/>
                <w:sz w:val="18"/>
                <w:szCs w:val="18"/>
              </w:rPr>
              <w:t>-5</w:t>
            </w:r>
          </w:p>
        </w:tc>
        <w:tc>
          <w:tcPr>
            <w:tcW w:w="1228"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-10</w:t>
            </w:r>
          </w:p>
        </w:tc>
        <w:tc>
          <w:tcPr>
            <w:tcW w:w="1228" w:type="dxa"/>
            <w:vAlign w:val="center"/>
          </w:tcPr>
          <w:p>
            <w:pPr>
              <w:pStyle w:val="3"/>
              <w:spacing w:line="360" w:lineRule="exact"/>
              <w:jc w:val="center"/>
              <w:rPr>
                <w:color w:val="000000"/>
                <w:sz w:val="18"/>
                <w:szCs w:val="18"/>
              </w:rPr>
            </w:pPr>
            <w:r>
              <w:rPr>
                <w:color w:val="000000"/>
                <w:sz w:val="18"/>
                <w:szCs w:val="18"/>
              </w:rPr>
              <w:t>-7</w:t>
            </w:r>
          </w:p>
        </w:tc>
        <w:tc>
          <w:tcPr>
            <w:tcW w:w="1228" w:type="dxa"/>
            <w:vAlign w:val="center"/>
          </w:tcPr>
          <w:p>
            <w:pPr>
              <w:pStyle w:val="3"/>
              <w:spacing w:line="360" w:lineRule="exact"/>
              <w:jc w:val="center"/>
              <w:rPr>
                <w:color w:val="000000"/>
                <w:sz w:val="18"/>
                <w:szCs w:val="18"/>
              </w:rPr>
            </w:pPr>
            <w:r>
              <w:rPr>
                <w:color w:val="000000"/>
                <w:sz w:val="18"/>
                <w:szCs w:val="18"/>
              </w:rPr>
              <w:t>-4</w:t>
            </w:r>
          </w:p>
        </w:tc>
        <w:tc>
          <w:tcPr>
            <w:tcW w:w="1228" w:type="dxa"/>
            <w:vAlign w:val="center"/>
          </w:tcPr>
          <w:p>
            <w:pPr>
              <w:pStyle w:val="3"/>
              <w:spacing w:line="360" w:lineRule="exact"/>
              <w:jc w:val="center"/>
              <w:rPr>
                <w:color w:val="000000"/>
                <w:sz w:val="18"/>
                <w:szCs w:val="18"/>
              </w:rPr>
            </w:pPr>
            <w:r>
              <w:rPr>
                <w:color w:val="000000"/>
                <w:sz w:val="18"/>
                <w:szCs w:val="18"/>
              </w:rPr>
              <w:t>-6</w:t>
            </w:r>
          </w:p>
        </w:tc>
      </w:tr>
    </w:tbl>
    <w:p>
      <w:pPr>
        <w:pStyle w:val="3"/>
        <w:ind w:firstLine="420" w:firstLineChars="200"/>
        <w:rPr>
          <w:lang w:val="en-US"/>
        </w:rPr>
      </w:pPr>
    </w:p>
    <w:p>
      <w:pPr>
        <w:ind w:firstLine="480"/>
        <w:jc w:val="center"/>
        <w:rPr>
          <w:rFonts w:ascii="宋体" w:hAnsi="宋体"/>
        </w:rPr>
      </w:pPr>
    </w:p>
    <w:p>
      <w:pPr>
        <w:pStyle w:val="2"/>
        <w:ind w:left="669" w:hanging="669"/>
      </w:pPr>
      <w:bookmarkStart w:id="34" w:name="_Toc154242760"/>
      <w:r>
        <w:rPr>
          <w:rFonts w:hint="eastAsia"/>
        </w:rPr>
        <w:t>构件空气声隔声性能</w:t>
      </w:r>
      <w:bookmarkEnd w:id="34"/>
    </w:p>
    <w:p>
      <w:pPr>
        <w:pStyle w:val="4"/>
      </w:pPr>
      <w:bookmarkStart w:id="35" w:name="_Toc154242761"/>
      <w:r>
        <w:rPr>
          <w:rFonts w:hint="eastAsia"/>
        </w:rPr>
        <w:t>墙板的空气声隔声量</w:t>
      </w:r>
      <w:bookmarkEnd w:id="35"/>
    </w:p>
    <w:p>
      <w:pPr>
        <w:pStyle w:val="5"/>
      </w:pPr>
      <w:bookmarkStart w:id="36" w:name="_Toc154242762"/>
      <w:r>
        <w:rPr>
          <w:rFonts w:hint="eastAsia"/>
        </w:rPr>
        <w:t>墙板构造做法</w:t>
      </w:r>
      <w:bookmarkEnd w:id="36"/>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9"/>
        <w:gridCol w:w="3538"/>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r>
              <w:t>构件</w:t>
            </w:r>
          </w:p>
        </w:tc>
        <w:tc>
          <w:tcPr>
            <w:tcW w:w="3537"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外墙</w:t>
            </w:r>
          </w:p>
        </w:tc>
        <w:tc>
          <w:tcPr>
            <w:tcW w:w="3537" w:type="dxa"/>
            <w:vAlign w:val="center"/>
          </w:tcPr>
          <w:p>
            <w:r>
              <w:t>聚合物砂浆（网格布）</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541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HS-ICF体系EPS模块</w:t>
            </w:r>
          </w:p>
        </w:tc>
        <w:tc>
          <w:tcPr>
            <w:tcW w:w="990" w:type="dxa"/>
            <w:vAlign w:val="center"/>
          </w:tcPr>
          <w:p>
            <w:pPr>
              <w:jc w:val="center"/>
            </w:pPr>
            <w:r>
              <w:t>110</w:t>
            </w:r>
          </w:p>
        </w:tc>
        <w:tc>
          <w:tcPr>
            <w:tcW w:w="990" w:type="dxa"/>
            <w:vAlign w:val="center"/>
          </w:tcPr>
          <w:p>
            <w:pPr>
              <w:jc w:val="center"/>
            </w:pPr>
            <w:r>
              <w:t>30</w:t>
            </w:r>
          </w:p>
        </w:tc>
        <w:tc>
          <w:tcPr>
            <w:tcW w:w="990" w:type="dxa"/>
            <w:vAlign w:val="center"/>
          </w:tcPr>
          <w:p>
            <w:pPr>
              <w:jc w:val="center"/>
            </w:pPr>
            <w:r>
              <w:t>3</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钢筋混凝土</w:t>
            </w:r>
          </w:p>
        </w:tc>
        <w:tc>
          <w:tcPr>
            <w:tcW w:w="990" w:type="dxa"/>
            <w:vAlign w:val="center"/>
          </w:tcPr>
          <w:p>
            <w:pPr>
              <w:jc w:val="center"/>
            </w:pPr>
            <w:r>
              <w:t>200</w:t>
            </w:r>
          </w:p>
        </w:tc>
        <w:tc>
          <w:tcPr>
            <w:tcW w:w="990" w:type="dxa"/>
            <w:vAlign w:val="center"/>
          </w:tcPr>
          <w:p>
            <w:pPr>
              <w:jc w:val="center"/>
            </w:pPr>
            <w:r>
              <w:t>2500</w:t>
            </w:r>
          </w:p>
        </w:tc>
        <w:tc>
          <w:tcPr>
            <w:tcW w:w="990" w:type="dxa"/>
            <w:vAlign w:val="center"/>
          </w:tcPr>
          <w:p>
            <w:pPr>
              <w:jc w:val="center"/>
            </w:pPr>
            <w:r>
              <w:t>500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岩棉条</w:t>
            </w:r>
          </w:p>
        </w:tc>
        <w:tc>
          <w:tcPr>
            <w:tcW w:w="990" w:type="dxa"/>
            <w:vAlign w:val="center"/>
          </w:tcPr>
          <w:p>
            <w:pPr>
              <w:jc w:val="center"/>
            </w:pPr>
            <w:r>
              <w:t>20</w:t>
            </w:r>
          </w:p>
        </w:tc>
        <w:tc>
          <w:tcPr>
            <w:tcW w:w="990" w:type="dxa"/>
            <w:vAlign w:val="center"/>
          </w:tcPr>
          <w:p>
            <w:pPr>
              <w:jc w:val="center"/>
            </w:pPr>
            <w:r>
              <w:t>80</w:t>
            </w:r>
          </w:p>
        </w:tc>
        <w:tc>
          <w:tcPr>
            <w:tcW w:w="990" w:type="dxa"/>
            <w:vAlign w:val="center"/>
          </w:tcPr>
          <w:p>
            <w:pPr>
              <w:jc w:val="center"/>
            </w:pPr>
            <w:r>
              <w:t>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隔墙</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混凝土多孔砖(190六孔砖）</w:t>
            </w:r>
          </w:p>
        </w:tc>
        <w:tc>
          <w:tcPr>
            <w:tcW w:w="990" w:type="dxa"/>
            <w:vAlign w:val="center"/>
          </w:tcPr>
          <w:p>
            <w:pPr>
              <w:jc w:val="center"/>
            </w:pPr>
            <w:r>
              <w:t>190</w:t>
            </w:r>
          </w:p>
        </w:tc>
        <w:tc>
          <w:tcPr>
            <w:tcW w:w="990" w:type="dxa"/>
            <w:vAlign w:val="center"/>
          </w:tcPr>
          <w:p>
            <w:pPr>
              <w:jc w:val="center"/>
            </w:pPr>
            <w:r>
              <w:t>1450</w:t>
            </w:r>
          </w:p>
        </w:tc>
        <w:tc>
          <w:tcPr>
            <w:tcW w:w="990" w:type="dxa"/>
            <w:vAlign w:val="center"/>
          </w:tcPr>
          <w:p>
            <w:pPr>
              <w:jc w:val="center"/>
            </w:pPr>
            <w:r>
              <w:t>276</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屋顶</w:t>
            </w:r>
          </w:p>
        </w:tc>
        <w:tc>
          <w:tcPr>
            <w:tcW w:w="3537" w:type="dxa"/>
            <w:vAlign w:val="center"/>
          </w:tcPr>
          <w:p>
            <w:r>
              <w:t>聚氨酯硬泡沫塑料(1)</w:t>
            </w:r>
          </w:p>
        </w:tc>
        <w:tc>
          <w:tcPr>
            <w:tcW w:w="990" w:type="dxa"/>
            <w:vAlign w:val="center"/>
          </w:tcPr>
          <w:p>
            <w:pPr>
              <w:jc w:val="center"/>
            </w:pPr>
            <w:r>
              <w:t>110</w:t>
            </w:r>
          </w:p>
        </w:tc>
        <w:tc>
          <w:tcPr>
            <w:tcW w:w="990" w:type="dxa"/>
            <w:vAlign w:val="center"/>
          </w:tcPr>
          <w:p>
            <w:pPr>
              <w:jc w:val="center"/>
            </w:pPr>
            <w:r>
              <w:t>40</w:t>
            </w:r>
          </w:p>
        </w:tc>
        <w:tc>
          <w:tcPr>
            <w:tcW w:w="990" w:type="dxa"/>
            <w:vAlign w:val="center"/>
          </w:tcPr>
          <w:p>
            <w:pPr>
              <w:jc w:val="center"/>
            </w:pPr>
            <w:r>
              <w:t>4</w:t>
            </w:r>
          </w:p>
        </w:tc>
        <w:tc>
          <w:tcPr>
            <w:tcW w:w="1126" w:type="dxa"/>
            <w:vMerge w:val="restart"/>
            <w:vAlign w:val="center"/>
          </w:tcPr>
          <w:p>
            <w:pPr>
              <w:jc w:val="center"/>
            </w:pPr>
            <w:r>
              <w:t>254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钢筋混凝土</w:t>
            </w:r>
          </w:p>
        </w:tc>
        <w:tc>
          <w:tcPr>
            <w:tcW w:w="990" w:type="dxa"/>
            <w:vAlign w:val="center"/>
          </w:tcPr>
          <w:p>
            <w:pPr>
              <w:jc w:val="center"/>
            </w:pPr>
            <w:r>
              <w:t>100</w:t>
            </w:r>
          </w:p>
        </w:tc>
        <w:tc>
          <w:tcPr>
            <w:tcW w:w="990" w:type="dxa"/>
            <w:vAlign w:val="center"/>
          </w:tcPr>
          <w:p>
            <w:pPr>
              <w:jc w:val="center"/>
            </w:pPr>
            <w:r>
              <w:t>2500</w:t>
            </w:r>
          </w:p>
        </w:tc>
        <w:tc>
          <w:tcPr>
            <w:tcW w:w="990" w:type="dxa"/>
            <w:vAlign w:val="center"/>
          </w:tcPr>
          <w:p>
            <w:pPr>
              <w:jc w:val="center"/>
            </w:pPr>
            <w:r>
              <w:t>250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楼板</w:t>
            </w:r>
          </w:p>
        </w:tc>
        <w:tc>
          <w:tcPr>
            <w:tcW w:w="3537" w:type="dxa"/>
            <w:vAlign w:val="center"/>
          </w:tcPr>
          <w:p>
            <w:r>
              <w:t>水泥砂浆</w:t>
            </w:r>
          </w:p>
        </w:tc>
        <w:tc>
          <w:tcPr>
            <w:tcW w:w="990" w:type="dxa"/>
            <w:vAlign w:val="center"/>
          </w:tcPr>
          <w:p>
            <w:pPr>
              <w:jc w:val="center"/>
            </w:pPr>
            <w:r>
              <w:t>20</w:t>
            </w:r>
          </w:p>
        </w:tc>
        <w:tc>
          <w:tcPr>
            <w:tcW w:w="990" w:type="dxa"/>
            <w:vAlign w:val="center"/>
          </w:tcPr>
          <w:p>
            <w:pPr>
              <w:jc w:val="center"/>
            </w:pPr>
            <w:r>
              <w:t>1800</w:t>
            </w:r>
          </w:p>
        </w:tc>
        <w:tc>
          <w:tcPr>
            <w:tcW w:w="990" w:type="dxa"/>
            <w:vAlign w:val="center"/>
          </w:tcPr>
          <w:p>
            <w:pPr>
              <w:jc w:val="center"/>
            </w:pPr>
            <w:r>
              <w:t>36</w:t>
            </w:r>
          </w:p>
        </w:tc>
        <w:tc>
          <w:tcPr>
            <w:tcW w:w="1126" w:type="dxa"/>
            <w:vMerge w:val="restart"/>
            <w:vAlign w:val="center"/>
          </w:tcPr>
          <w:p>
            <w:pPr>
              <w:jc w:val="center"/>
            </w:pPr>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钢筋混凝土</w:t>
            </w:r>
          </w:p>
        </w:tc>
        <w:tc>
          <w:tcPr>
            <w:tcW w:w="990" w:type="dxa"/>
            <w:vAlign w:val="center"/>
          </w:tcPr>
          <w:p>
            <w:pPr>
              <w:jc w:val="center"/>
            </w:pPr>
            <w:r>
              <w:t>120</w:t>
            </w:r>
          </w:p>
        </w:tc>
        <w:tc>
          <w:tcPr>
            <w:tcW w:w="990" w:type="dxa"/>
            <w:vAlign w:val="center"/>
          </w:tcPr>
          <w:p>
            <w:pPr>
              <w:jc w:val="center"/>
            </w:pPr>
            <w:r>
              <w:t>2500</w:t>
            </w:r>
          </w:p>
        </w:tc>
        <w:tc>
          <w:tcPr>
            <w:tcW w:w="990" w:type="dxa"/>
            <w:vAlign w:val="center"/>
          </w:tcPr>
          <w:p>
            <w:pPr>
              <w:jc w:val="center"/>
            </w:pPr>
            <w:r>
              <w:t>300</w:t>
            </w:r>
          </w:p>
        </w:tc>
        <w:tc>
          <w:tcPr>
            <w:tcW w:w="1126"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3537" w:type="dxa"/>
            <w:vAlign w:val="center"/>
          </w:tcPr>
          <w:p>
            <w:r>
              <w:t>石灰砂浆</w:t>
            </w:r>
          </w:p>
        </w:tc>
        <w:tc>
          <w:tcPr>
            <w:tcW w:w="990" w:type="dxa"/>
            <w:vAlign w:val="center"/>
          </w:tcPr>
          <w:p>
            <w:pPr>
              <w:jc w:val="center"/>
            </w:pPr>
            <w:r>
              <w:t>20</w:t>
            </w:r>
          </w:p>
        </w:tc>
        <w:tc>
          <w:tcPr>
            <w:tcW w:w="990" w:type="dxa"/>
            <w:vAlign w:val="center"/>
          </w:tcPr>
          <w:p>
            <w:pPr>
              <w:jc w:val="center"/>
            </w:pPr>
            <w:r>
              <w:t>1600</w:t>
            </w:r>
          </w:p>
        </w:tc>
        <w:tc>
          <w:tcPr>
            <w:tcW w:w="990" w:type="dxa"/>
            <w:vAlign w:val="center"/>
          </w:tcPr>
          <w:p>
            <w:pPr>
              <w:jc w:val="center"/>
            </w:pPr>
            <w:r>
              <w:t>32</w:t>
            </w:r>
          </w:p>
        </w:tc>
        <w:tc>
          <w:tcPr>
            <w:tcW w:w="1126" w:type="dxa"/>
            <w:vMerge w:val="continue"/>
            <w:vAlign w:val="center"/>
          </w:tcPr>
          <w:p>
            <w:pPr>
              <w:jc w:val="center"/>
            </w:pPr>
          </w:p>
        </w:tc>
      </w:tr>
    </w:tbl>
    <w:p>
      <w:pPr>
        <w:pStyle w:val="13"/>
        <w:ind w:firstLine="420" w:firstLineChars="0"/>
        <w:jc w:val="center"/>
        <w:rPr>
          <w:rFonts w:ascii="宋体" w:hAnsi="宋体" w:eastAsia="宋体"/>
          <w:color w:val="000000"/>
          <w:sz w:val="21"/>
          <w:szCs w:val="21"/>
        </w:rPr>
      </w:pPr>
      <w:bookmarkStart w:id="37" w:name="围护结构材料清单"/>
      <w:bookmarkEnd w:id="37"/>
    </w:p>
    <w:p>
      <w:pPr>
        <w:pStyle w:val="5"/>
      </w:pPr>
      <w:bookmarkStart w:id="38" w:name="_Toc154242763"/>
      <w:r>
        <w:rPr>
          <w:rFonts w:hint="eastAsia"/>
        </w:rPr>
        <w:t>墙板空气声隔声性能</w:t>
      </w:r>
      <w:bookmarkEnd w:id="38"/>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pPr>
        <w:pStyle w:val="3"/>
        <w:ind w:left="840"/>
      </w:pPr>
      <m:oMathPara>
        <m:oMath>
          <m:r>
            <m:rPr/>
            <w:rPr>
              <w:rFonts w:ascii="Cambria Math" w:hAnsi="Cambria Math"/>
            </w:rPr>
            <m:t>R=</m:t>
          </m:r>
          <w:bookmarkStart w:id="39" w:name="公式A1"/>
          <m:r>
            <m:rPr>
              <m:sty m:val="p"/>
            </m:rPr>
            <m:t>23</m:t>
          </m:r>
          <w:bookmarkEnd w:id="39"/>
          <m:r>
            <m:rPr/>
            <w:rPr>
              <w:rFonts w:ascii="Cambria Math" w:hAnsi="Cambria Math"/>
            </w:rPr>
            <m:t>lgm+</m:t>
          </m:r>
          <w:bookmarkStart w:id="40" w:name="公式B1"/>
          <m:r>
            <m:rPr>
              <m:sty m:val="p"/>
            </m:rPr>
            <m:t>11</m:t>
          </m:r>
          <w:bookmarkEnd w:id="40"/>
          <m:r>
            <m:rPr/>
            <w:rPr>
              <w:rFonts w:ascii="Cambria Math" w:hAnsi="Cambria Math"/>
            </w:rPr>
            <m:t>lgf</m:t>
          </m:r>
          <w:bookmarkStart w:id="41" w:name="公式C1"/>
          <m:r>
            <m:rPr>
              <m:sty m:val="p"/>
            </m:rPr>
            <m:t>−41</m:t>
          </m:r>
          <w:bookmarkEnd w:id="41"/>
          <m:r>
            <m:rPr/>
            <w:rPr>
              <w:rFonts w:ascii="Cambria Math" w:hAnsi="Cambria Math"/>
            </w:rPr>
            <m:t xml:space="preserve">         (m≥200kg/</m:t>
          </m:r>
          <m:r>
            <m:rPr/>
            <w:rPr>
              <w:rFonts w:hint="eastAsia" w:ascii="Cambria Math" w:hAnsi="Cambria Math"/>
            </w:rPr>
            <m:t>㎡）</m:t>
          </m:r>
        </m:oMath>
      </m:oMathPara>
    </w:p>
    <w:p>
      <w:pPr>
        <w:pStyle w:val="3"/>
        <w:ind w:left="840"/>
        <w:rPr>
          <w:color w:val="FF0000"/>
        </w:rPr>
      </w:pPr>
      <m:oMathPara>
        <m:oMath>
          <m:r>
            <m:rPr/>
            <w:rPr>
              <w:rFonts w:ascii="Cambria Math" w:hAnsi="Cambria Math"/>
            </w:rPr>
            <m:t>R=</m:t>
          </m:r>
          <w:bookmarkStart w:id="42" w:name="公式A2"/>
          <m:r>
            <m:rPr>
              <m:sty m:val="p"/>
            </m:rPr>
            <m:t>13</m:t>
          </m:r>
          <w:bookmarkEnd w:id="42"/>
          <m:r>
            <m:rPr/>
            <w:rPr>
              <w:rFonts w:ascii="Cambria Math" w:hAnsi="Cambria Math"/>
            </w:rPr>
            <m:t>lgm+</m:t>
          </m:r>
          <w:bookmarkStart w:id="43" w:name="公式B2"/>
          <m:r>
            <m:rPr>
              <m:sty m:val="p"/>
            </m:rPr>
            <m:t>11</m:t>
          </m:r>
          <w:bookmarkEnd w:id="43"/>
          <m:r>
            <m:rPr/>
            <w:rPr>
              <w:rFonts w:ascii="Cambria Math" w:hAnsi="Cambria Math"/>
            </w:rPr>
            <m:t>lgf</m:t>
          </m:r>
          <w:bookmarkStart w:id="44" w:name="公式C2"/>
          <m:r>
            <m:rPr>
              <m:sty m:val="p"/>
            </m:rPr>
            <m:t>−18</m:t>
          </m:r>
          <w:bookmarkEnd w:id="44"/>
          <m:r>
            <m:rPr/>
            <w:rPr>
              <w:rFonts w:ascii="Cambria Math" w:hAnsi="Cambria Math"/>
            </w:rPr>
            <m:t xml:space="preserve">        (m≤200kg/</m:t>
          </m:r>
          <m:r>
            <m:rPr/>
            <w:rPr>
              <w:rFonts w:hint="eastAsia" w:ascii="Cambria Math" w:hAnsi="Cambria Math"/>
            </w:rPr>
            <m:t>㎡）</m:t>
          </m:r>
        </m:oMath>
      </m:oMathPara>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840"/>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p>
      <w:pPr>
        <w:pStyle w:val="13"/>
        <w:ind w:firstLine="420" w:firstLineChars="0"/>
        <w:jc w:val="left"/>
        <w:rPr>
          <w:rFonts w:ascii="宋体" w:hAnsi="宋体" w:eastAsia="宋体"/>
          <w:kern w:val="0"/>
          <w:sz w:val="21"/>
          <w:szCs w:val="21"/>
        </w:rPr>
      </w:pPr>
      <w:bookmarkStart w:id="45" w:name="墙板空气声隔声量"/>
      <w:bookmarkEnd w:id="45"/>
      <w:r>
        <w:rPr>
          <w:rFonts w:ascii="宋体" w:hAnsi="宋体" w:eastAsia="宋体"/>
          <w:kern w:val="0"/>
          <w:sz w:val="21"/>
          <w:szCs w:val="21"/>
        </w:rPr>
        <w:t>本工程无此项评价</w:t>
      </w:r>
    </w:p>
    <w:p>
      <w:pPr>
        <w:pStyle w:val="3"/>
        <w:rPr>
          <w:lang w:val="en-US"/>
        </w:rPr>
      </w:pPr>
    </w:p>
    <w:p>
      <w:pPr>
        <w:pStyle w:val="4"/>
      </w:pPr>
      <w:bookmarkStart w:id="46" w:name="_Toc154242764"/>
      <w:r>
        <w:rPr>
          <w:rFonts w:hint="eastAsia"/>
        </w:rPr>
        <w:t>门窗的空气声隔声量</w:t>
      </w:r>
      <w:bookmarkEnd w:id="46"/>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p>
      <w:pPr>
        <w:pStyle w:val="13"/>
        <w:ind w:firstLine="420" w:firstLineChars="0"/>
        <w:jc w:val="left"/>
        <w:rPr>
          <w:rFonts w:ascii="宋体" w:hAnsi="宋体" w:eastAsia="宋体"/>
          <w:kern w:val="0"/>
          <w:sz w:val="21"/>
          <w:szCs w:val="21"/>
        </w:rPr>
      </w:pPr>
      <w:bookmarkStart w:id="47" w:name="门窗空气声隔声量"/>
      <w:bookmarkEnd w:id="47"/>
      <w:r>
        <w:rPr>
          <w:rFonts w:ascii="宋体" w:hAnsi="宋体" w:eastAsia="宋体"/>
          <w:kern w:val="0"/>
          <w:sz w:val="21"/>
          <w:szCs w:val="21"/>
        </w:rPr>
        <w:t>本工程无此项评价</w:t>
      </w:r>
    </w:p>
    <w:p>
      <w:pPr>
        <w:pStyle w:val="2"/>
        <w:ind w:left="669" w:hanging="669"/>
      </w:pPr>
      <w:bookmarkStart w:id="48" w:name="_Toc154242765"/>
      <w:r>
        <w:rPr>
          <w:rFonts w:hint="eastAsia"/>
        </w:rPr>
        <w:t>楼板撞击声隔声性能</w:t>
      </w:r>
      <w:bookmarkEnd w:id="48"/>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pPr>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p>
      <w:pPr>
        <w:rPr>
          <w:lang w:val="en-US"/>
        </w:rPr>
      </w:pPr>
      <w:bookmarkStart w:id="49" w:name="撞击声隔声"/>
      <w:bookmarkEnd w:id="49"/>
      <w:r>
        <w:rPr>
          <w:lang w:val="en-US"/>
        </w:rPr>
        <w:t>本工程无此项评价</w:t>
      </w:r>
    </w:p>
    <w:bookmarkEnd w:id="25"/>
    <w:p>
      <w:pPr>
        <w:pStyle w:val="2"/>
        <w:ind w:left="669" w:hanging="669"/>
        <w:rPr>
          <w:kern w:val="2"/>
        </w:rPr>
      </w:pPr>
      <w:bookmarkStart w:id="50" w:name="_Toc154242766"/>
      <w:r>
        <w:rPr>
          <w:rFonts w:hint="eastAsia"/>
          <w:kern w:val="2"/>
        </w:rPr>
        <w:t>结论</w:t>
      </w:r>
      <w:bookmarkEnd w:id="50"/>
    </w:p>
    <w:p>
      <w:pPr>
        <w:pStyle w:val="3"/>
        <w:ind w:firstLine="420" w:firstLineChars="200"/>
      </w:pPr>
      <w:r>
        <w:rPr>
          <w:rFonts w:hint="eastAsia"/>
        </w:rPr>
        <w:t>根据上述计算可知，本项目围护</w:t>
      </w:r>
      <w:r>
        <w:t>结构隔声结果</w:t>
      </w:r>
      <w:r>
        <w:rPr>
          <w:rFonts w:hint="eastAsia"/>
        </w:rPr>
        <w:t>如下表所示：</w:t>
      </w:r>
    </w:p>
    <w:p>
      <w:pPr>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p>
      <w:bookmarkStart w:id="51" w:name="构件隔声性能统计"/>
      <w:bookmarkEnd w:id="51"/>
      <w:r>
        <w:t>本工程无此项评价</w:t>
      </w:r>
    </w:p>
    <w:p>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p>
      <w:bookmarkStart w:id="52" w:name="撞击声隔声性能统计"/>
      <w:bookmarkEnd w:id="52"/>
      <w:r>
        <w:t>本工程无此项评价</w:t>
      </w:r>
    </w:p>
    <w:p>
      <w:pPr>
        <w:pStyle w:val="13"/>
        <w:spacing w:line="360" w:lineRule="auto"/>
        <w:ind w:firstLine="0" w:firstLineChars="0"/>
        <w:rPr>
          <w:rFonts w:ascii="宋体" w:hAnsi="宋体" w:eastAsia="宋体"/>
          <w:sz w:val="21"/>
          <w:szCs w:val="21"/>
        </w:rPr>
      </w:pPr>
    </w:p>
    <w:p>
      <w:pPr>
        <w:pStyle w:val="3"/>
      </w:pPr>
      <w:r>
        <w:rPr>
          <w:rFonts w:hint="eastAsia" w:ascii="宋体" w:hAnsi="宋体"/>
        </w:rPr>
        <w:t xml:space="preserve">    综上，根据《绿色建筑评</w:t>
      </w:r>
      <w:r>
        <w:t>价标准》GB/T50378-2019和《民用建筑隔声设计规范》GB50118-</w:t>
      </w:r>
    </w:p>
    <w:p>
      <w:pPr>
        <w:pStyle w:val="3"/>
        <w:rPr>
          <w:rFonts w:ascii="宋体" w:hAnsi="宋体"/>
        </w:rPr>
      </w:pPr>
      <w:r>
        <w:t>2010评价要求，可</w:t>
      </w:r>
      <w:r>
        <w:rPr>
          <w:rFonts w:hint="eastAsia" w:ascii="宋体" w:hAnsi="宋体"/>
        </w:rPr>
        <w:t>得围护结构隔声评价结果及得分情况如下表：</w:t>
      </w:r>
    </w:p>
    <w:p>
      <w:pPr>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897"/>
        <w:gridCol w:w="1381"/>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pPr>
              <w:jc w:val="center"/>
              <w:rPr>
                <w:bCs/>
              </w:rPr>
            </w:pPr>
            <w:r>
              <w:rPr>
                <w:bCs/>
              </w:rPr>
              <w:t>检查项</w:t>
            </w:r>
          </w:p>
        </w:tc>
        <w:tc>
          <w:tcPr>
            <w:tcW w:w="5897" w:type="dxa"/>
            <w:shd w:val="clear" w:color="auto" w:fill="E6E6E6"/>
          </w:tcPr>
          <w:p>
            <w:pPr>
              <w:jc w:val="center"/>
              <w:rPr>
                <w:bCs/>
              </w:rPr>
            </w:pPr>
            <w:r>
              <w:rPr>
                <w:rFonts w:hint="eastAsia"/>
                <w:bCs/>
              </w:rPr>
              <w:t>评价</w:t>
            </w:r>
            <w:r>
              <w:rPr>
                <w:bCs/>
              </w:rPr>
              <w:t>依据</w:t>
            </w:r>
          </w:p>
        </w:tc>
        <w:tc>
          <w:tcPr>
            <w:tcW w:w="1381" w:type="dxa"/>
            <w:shd w:val="clear" w:color="auto" w:fill="E6E6E6"/>
            <w:vAlign w:val="center"/>
          </w:tcPr>
          <w:p>
            <w:pPr>
              <w:jc w:val="center"/>
              <w:rPr>
                <w:bCs/>
              </w:rPr>
            </w:pPr>
            <w:r>
              <w:rPr>
                <w:bCs/>
              </w:rPr>
              <w:t>结论</w:t>
            </w:r>
          </w:p>
        </w:tc>
        <w:tc>
          <w:tcPr>
            <w:tcW w:w="737" w:type="dxa"/>
            <w:shd w:val="clear" w:color="auto" w:fill="E6E6E6"/>
            <w:vAlign w:val="center"/>
          </w:tcPr>
          <w:p>
            <w:pPr>
              <w:jc w:val="center"/>
              <w:rPr>
                <w:bCs/>
              </w:rPr>
            </w:pPr>
            <w:r>
              <w:rPr>
                <w:bCs/>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pPr>
              <w:pStyle w:val="3"/>
              <w:jc w:val="center"/>
              <w:rPr>
                <w:sz w:val="18"/>
                <w:szCs w:val="18"/>
              </w:rPr>
            </w:pPr>
            <w:r>
              <w:rPr>
                <w:rFonts w:hint="eastAsia"/>
                <w:sz w:val="18"/>
                <w:szCs w:val="18"/>
              </w:rPr>
              <w:t>空气声隔声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b/>
                <w:bCs/>
                <w:lang w:val="en-US"/>
              </w:rPr>
            </w:pPr>
            <w:bookmarkStart w:id="53" w:name="空气声控制项结论"/>
            <w:r>
              <w:rPr>
                <w:rFonts w:hint="eastAsia"/>
                <w:b/>
                <w:bCs/>
                <w:lang w:val="en-US"/>
              </w:rPr>
              <w:t>本工程无此项评价</w:t>
            </w:r>
            <w:bookmarkEnd w:id="53"/>
          </w:p>
        </w:tc>
        <w:tc>
          <w:tcPr>
            <w:tcW w:w="737" w:type="dxa"/>
            <w:vAlign w:val="center"/>
          </w:tcPr>
          <w:p>
            <w:pPr>
              <w:jc w:val="center"/>
              <w:rPr>
                <w:b/>
                <w:bCs/>
                <w:lang w:val="en-US"/>
              </w:rPr>
            </w:pPr>
            <w:r>
              <w:rPr>
                <w:b/>
                <w:bCs/>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jc w:val="center"/>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构件及相邻房间之间的空气声隔声性能达到现行国家标准《民用建筑隔声设计规范》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中的低限标准限值和高要求标准限值的平均值，得3分；达到高要求标准限值，得5分。</w:t>
            </w:r>
          </w:p>
        </w:tc>
        <w:tc>
          <w:tcPr>
            <w:tcW w:w="1381" w:type="dxa"/>
            <w:vAlign w:val="center"/>
          </w:tcPr>
          <w:p>
            <w:pPr>
              <w:jc w:val="center"/>
              <w:rPr>
                <w:b/>
                <w:bCs/>
                <w:lang w:val="en-US"/>
              </w:rPr>
            </w:pPr>
            <w:bookmarkStart w:id="54" w:name="空气声评分项结论"/>
            <w:r>
              <w:rPr>
                <w:rFonts w:hint="eastAsia"/>
                <w:b/>
                <w:bCs/>
                <w:lang w:val="en-US"/>
              </w:rPr>
              <w:t>本工程无此项评价</w:t>
            </w:r>
            <w:bookmarkEnd w:id="54"/>
          </w:p>
        </w:tc>
        <w:tc>
          <w:tcPr>
            <w:tcW w:w="737" w:type="dxa"/>
            <w:vAlign w:val="center"/>
          </w:tcPr>
          <w:p>
            <w:pPr>
              <w:jc w:val="center"/>
              <w:rPr>
                <w:b/>
                <w:bCs/>
                <w:lang w:val="en-US"/>
              </w:rPr>
            </w:pPr>
            <w:bookmarkStart w:id="55" w:name="空气声得分"/>
            <w:r>
              <w:rPr>
                <w:rFonts w:hint="eastAsia"/>
                <w:b/>
                <w:bCs/>
                <w:lang w:val="en-US"/>
              </w:rPr>
              <w:t>--</w:t>
            </w:r>
            <w:bookmarkEnd w:id="55"/>
            <w:r>
              <w:rPr>
                <w:rFonts w:hint="eastAsia"/>
                <w:b/>
                <w:bCs/>
                <w:lang w:val="en-US"/>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pPr>
              <w:pStyle w:val="3"/>
              <w:jc w:val="center"/>
              <w:rPr>
                <w:sz w:val="18"/>
                <w:szCs w:val="18"/>
              </w:rPr>
            </w:pPr>
            <w:r>
              <w:rPr>
                <w:rFonts w:hint="eastAsia"/>
                <w:sz w:val="18"/>
                <w:szCs w:val="18"/>
              </w:rPr>
              <w:t>撞击声隔声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b/>
                <w:bCs/>
                <w:lang w:val="en-US"/>
              </w:rPr>
            </w:pPr>
            <w:bookmarkStart w:id="56" w:name="撞击声控制项结论"/>
            <w:r>
              <w:rPr>
                <w:rFonts w:hint="eastAsia"/>
                <w:b/>
                <w:bCs/>
                <w:lang w:val="en-US"/>
              </w:rPr>
              <w:t>本工程无此项评价</w:t>
            </w:r>
            <w:bookmarkEnd w:id="56"/>
          </w:p>
        </w:tc>
        <w:tc>
          <w:tcPr>
            <w:tcW w:w="737" w:type="dxa"/>
            <w:vAlign w:val="center"/>
          </w:tcPr>
          <w:p>
            <w:pPr>
              <w:jc w:val="center"/>
              <w:rPr>
                <w:b/>
                <w:bCs/>
                <w:lang w:val="en-US"/>
              </w:rPr>
            </w:pPr>
            <w:r>
              <w:rPr>
                <w:rFonts w:hint="eastAsia"/>
                <w:b/>
                <w:bCs/>
                <w:lang w:val="en-US"/>
              </w:rPr>
              <w:t>-</w:t>
            </w:r>
            <w:r>
              <w:rPr>
                <w:b/>
                <w:bCs/>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楼板的撞击声隔声性能达到现行国家标准《民用建筑隔声设计规范》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w:t>
            </w:r>
            <w:r>
              <w:rPr>
                <w:sz w:val="18"/>
                <w:szCs w:val="18"/>
              </w:rPr>
              <w:t>5</w:t>
            </w:r>
            <w:r>
              <w:rPr>
                <w:rFonts w:hint="eastAsia"/>
                <w:sz w:val="18"/>
                <w:szCs w:val="18"/>
              </w:rPr>
              <w:t>分。</w:t>
            </w:r>
          </w:p>
        </w:tc>
        <w:tc>
          <w:tcPr>
            <w:tcW w:w="1381" w:type="dxa"/>
            <w:vAlign w:val="center"/>
          </w:tcPr>
          <w:p>
            <w:pPr>
              <w:jc w:val="center"/>
              <w:rPr>
                <w:b/>
                <w:bCs/>
                <w:lang w:val="en-US"/>
              </w:rPr>
            </w:pPr>
            <w:bookmarkStart w:id="57" w:name="撞击声评分项结论"/>
            <w:r>
              <w:rPr>
                <w:rFonts w:hint="eastAsia"/>
                <w:b/>
                <w:bCs/>
                <w:lang w:val="en-US"/>
              </w:rPr>
              <w:t>本工程无此项评价</w:t>
            </w:r>
            <w:bookmarkEnd w:id="57"/>
          </w:p>
        </w:tc>
        <w:tc>
          <w:tcPr>
            <w:tcW w:w="737" w:type="dxa"/>
            <w:vAlign w:val="center"/>
          </w:tcPr>
          <w:p>
            <w:pPr>
              <w:jc w:val="center"/>
              <w:rPr>
                <w:b/>
                <w:bCs/>
                <w:lang w:val="en-US"/>
              </w:rPr>
            </w:pPr>
            <w:bookmarkStart w:id="58" w:name="撞击声得分"/>
            <w:r>
              <w:rPr>
                <w:rFonts w:hint="eastAsia"/>
                <w:b/>
                <w:bCs/>
                <w:lang w:val="en-US"/>
              </w:rPr>
              <w:t>--</w:t>
            </w:r>
            <w:bookmarkEnd w:id="58"/>
            <w:r>
              <w:rPr>
                <w:rFonts w:hint="eastAsia"/>
                <w:b/>
                <w:bCs/>
                <w:lang w:val="en-US"/>
              </w:rPr>
              <w:t>分</w:t>
            </w:r>
          </w:p>
        </w:tc>
      </w:tr>
    </w:tbl>
    <w:p>
      <w:pPr>
        <w:pStyle w:val="13"/>
        <w:spacing w:line="360" w:lineRule="auto"/>
        <w:ind w:firstLine="0" w:firstLineChars="0"/>
        <w:rPr>
          <w:rFonts w:ascii="宋体" w:hAnsi="宋体" w:eastAsia="宋体"/>
          <w:sz w:val="21"/>
          <w:szCs w:val="21"/>
          <w:lang w:val="en-GB"/>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9</w:t>
    </w:r>
    <w:r>
      <w:rPr>
        <w:sz w:val="15"/>
        <w:szCs w:val="15"/>
      </w:rPr>
      <w:fldChar w:fldCharType="end"/>
    </w:r>
    <w:r>
      <w:rPr>
        <w:sz w:val="15"/>
        <w:szCs w:val="15"/>
      </w:rPr>
      <w:ptab w:relativeTo="margin" w:alignment="right" w:leader="none"/>
    </w:r>
    <w:r>
      <w:rPr>
        <w:sz w:val="15"/>
        <w:szCs w:val="15"/>
      </w:rPr>
      <w:t>SEDU2022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zMGU1YzA2OGFmOTk4NDQ5MDJiYWZlYzI1MjVmYjQifQ=="/>
  </w:docVars>
  <w:rsids>
    <w:rsidRoot w:val="00F74F05"/>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00AF"/>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B72C4"/>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4F05"/>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C08B8"/>
    <w:rsid w:val="00FC178C"/>
    <w:rsid w:val="00FC4B65"/>
    <w:rsid w:val="00FC5550"/>
    <w:rsid w:val="00FD0603"/>
    <w:rsid w:val="00FD0EF4"/>
    <w:rsid w:val="00FD4C04"/>
    <w:rsid w:val="00FD636D"/>
    <w:rsid w:val="00FD77E0"/>
    <w:rsid w:val="00FE1638"/>
    <w:rsid w:val="00FE53F1"/>
    <w:rsid w:val="00FF2243"/>
    <w:rsid w:val="00FF272D"/>
    <w:rsid w:val="00FF6D7B"/>
    <w:rsid w:val="66DB6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numbering" Target="numbering.xml"/><Relationship Id="rId31" Type="http://schemas.openxmlformats.org/officeDocument/2006/relationships/image" Target="media/image19.png"/><Relationship Id="rId30" Type="http://schemas.openxmlformats.org/officeDocument/2006/relationships/oleObject" Target="embeddings/oleObject7.bin"/><Relationship Id="rId3" Type="http://schemas.openxmlformats.org/officeDocument/2006/relationships/header" Target="header1.xml"/><Relationship Id="rId29" Type="http://schemas.openxmlformats.org/officeDocument/2006/relationships/oleObject" Target="embeddings/oleObject6.bin"/><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wmf"/><Relationship Id="rId25" Type="http://schemas.openxmlformats.org/officeDocument/2006/relationships/oleObject" Target="embeddings/oleObject5.bin"/><Relationship Id="rId24" Type="http://schemas.openxmlformats.org/officeDocument/2006/relationships/image" Target="media/image15.wmf"/><Relationship Id="rId23" Type="http://schemas.openxmlformats.org/officeDocument/2006/relationships/oleObject" Target="embeddings/oleObject4.bin"/><Relationship Id="rId22" Type="http://schemas.openxmlformats.org/officeDocument/2006/relationships/image" Target="media/image14.wmf"/><Relationship Id="rId21" Type="http://schemas.openxmlformats.org/officeDocument/2006/relationships/oleObject" Target="embeddings/oleObject3.bin"/><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png"/><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ZI~1\AppData\Local\Temp\tmp1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618EF-FC92-48E3-AE1D-F75DCFC80657}">
  <ds:schemaRefs/>
</ds:datastoreItem>
</file>

<file path=docProps/app.xml><?xml version="1.0" encoding="utf-8"?>
<Properties xmlns="http://schemas.openxmlformats.org/officeDocument/2006/extended-properties" xmlns:vt="http://schemas.openxmlformats.org/officeDocument/2006/docPropsVTypes">
  <Template>tmp16</Template>
  <Company>ths</Company>
  <Pages>1</Pages>
  <Words>983</Words>
  <Characters>5606</Characters>
  <Lines>46</Lines>
  <Paragraphs>13</Paragraphs>
  <TotalTime>1</TotalTime>
  <ScaleCrop>false</ScaleCrop>
  <LinksUpToDate>false</LinksUpToDate>
  <CharactersWithSpaces>6576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2023-12-23T08:52:00Z</dcterms:created>
  <dc:creator>wangzishuo</dc:creator>
  <cp:lastModifiedBy>王孜硕</cp:lastModifiedBy>
  <cp:lastPrinted>1900-12-31T16:00:00Z</cp:lastPrinted>
  <dcterms:modified xsi:type="dcterms:W3CDTF">2024-01-01T03:19:58Z</dcterms:modified>
  <dc:title>建筑构件隔声设计报告书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23B02DCDC4A14C7B9579A4F501A050E6_12</vt:lpwstr>
  </property>
</Properties>
</file>