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旅馆建筑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bookmarkEnd w:id="1"/>
            <w:r>
              <w:rPr>
                <w:rFonts w:hint="eastAsia"/>
              </w:rPr>
              <w:t>炫彩光伏-穆棱水泥厂绿建改造设计</w:t>
            </w:r>
            <w:bookmarkStart w:id="59" w:name="_GoBack"/>
            <w:bookmarkEnd w:id="5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2023年12月31日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T18265483629</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rPr>
          <w:rFonts w:asciiTheme="minorHAnsi" w:hAnsiTheme="minorHAnsi" w:eastAsiaTheme="minorEastAsia" w:cstheme="minorBidi"/>
          <w:b w:val="0"/>
          <w:bCs w:val="0"/>
          <w:sz w:val="21"/>
          <w:szCs w:val="22"/>
          <w14:ligatures w14:val="standardContextual"/>
        </w:rPr>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"_Toc154936776" </w:instrText>
      </w:r>
      <w:r>
        <w:fldChar w:fldCharType="separate"/>
      </w:r>
      <w:r>
        <w:rPr>
          <w:rStyle w:val="25"/>
        </w:rPr>
        <w:t>1</w:t>
      </w:r>
      <w:r>
        <w:rPr>
          <w:rFonts w:asciiTheme="minorHAnsi" w:hAnsiTheme="minorHAnsi" w:eastAsiaTheme="minorEastAsia" w:cstheme="minorBidi"/>
          <w:b w:val="0"/>
          <w:bCs w:val="0"/>
          <w:sz w:val="21"/>
          <w:szCs w:val="22"/>
          <w14:ligatures w14:val="standardContextual"/>
        </w:rPr>
        <w:tab/>
      </w:r>
      <w:r>
        <w:rPr>
          <w:rStyle w:val="25"/>
        </w:rPr>
        <w:t>建筑概况</w:t>
      </w:r>
      <w:r>
        <w:tab/>
      </w:r>
      <w:r>
        <w:fldChar w:fldCharType="begin"/>
      </w:r>
      <w:r>
        <w:instrText xml:space="preserve"> PAGEREF _Toc154936776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"_Toc154936777" </w:instrText>
      </w:r>
      <w:r>
        <w:fldChar w:fldCharType="separate"/>
      </w:r>
      <w:r>
        <w:rPr>
          <w:rStyle w:val="25"/>
        </w:rPr>
        <w:t>2</w:t>
      </w:r>
      <w:r>
        <w:rPr>
          <w:rFonts w:asciiTheme="minorHAnsi" w:hAnsiTheme="minorHAnsi" w:eastAsiaTheme="minorEastAsia" w:cstheme="minorBidi"/>
          <w:b w:val="0"/>
          <w:bCs w:val="0"/>
          <w:sz w:val="21"/>
          <w:szCs w:val="22"/>
          <w14:ligatures w14:val="standardContextual"/>
        </w:rPr>
        <w:tab/>
      </w:r>
      <w:r>
        <w:rPr>
          <w:rStyle w:val="25"/>
        </w:rPr>
        <w:t>评价依据</w:t>
      </w:r>
      <w:r>
        <w:tab/>
      </w:r>
      <w:r>
        <w:fldChar w:fldCharType="begin"/>
      </w:r>
      <w:r>
        <w:instrText xml:space="preserve"> PAGEREF _Toc154936777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"_Toc154936778" </w:instrText>
      </w:r>
      <w:r>
        <w:fldChar w:fldCharType="separate"/>
      </w:r>
      <w:r>
        <w:rPr>
          <w:rStyle w:val="25"/>
        </w:rPr>
        <w:t>3</w:t>
      </w:r>
      <w:r>
        <w:rPr>
          <w:rFonts w:asciiTheme="minorHAnsi" w:hAnsiTheme="minorHAnsi" w:eastAsiaTheme="minorEastAsia" w:cstheme="minorBidi"/>
          <w:b w:val="0"/>
          <w:bCs w:val="0"/>
          <w:sz w:val="21"/>
          <w:szCs w:val="22"/>
          <w14:ligatures w14:val="standardContextual"/>
        </w:rPr>
        <w:tab/>
      </w:r>
      <w:r>
        <w:rPr>
          <w:rStyle w:val="25"/>
        </w:rPr>
        <w:t>标准要求</w:t>
      </w:r>
      <w:r>
        <w:tab/>
      </w:r>
      <w:r>
        <w:fldChar w:fldCharType="begin"/>
      </w:r>
      <w:r>
        <w:instrText xml:space="preserve"> PAGEREF _Toc154936778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"_Toc154936779" </w:instrText>
      </w:r>
      <w:r>
        <w:fldChar w:fldCharType="separate"/>
      </w:r>
      <w:r>
        <w:rPr>
          <w:rStyle w:val="25"/>
        </w:rPr>
        <w:t>4</w:t>
      </w:r>
      <w:r>
        <w:rPr>
          <w:rFonts w:asciiTheme="minorHAnsi" w:hAnsiTheme="minorHAnsi" w:eastAsiaTheme="minorEastAsia" w:cstheme="minorBidi"/>
          <w:b w:val="0"/>
          <w:bCs w:val="0"/>
          <w:sz w:val="21"/>
          <w:szCs w:val="22"/>
          <w14:ligatures w14:val="standardContextual"/>
        </w:rPr>
        <w:tab/>
      </w:r>
      <w:r>
        <w:rPr>
          <w:rStyle w:val="25"/>
        </w:rPr>
        <w:t>隔声理论概述</w:t>
      </w:r>
      <w:r>
        <w:tab/>
      </w:r>
      <w:r>
        <w:fldChar w:fldCharType="begin"/>
      </w:r>
      <w:r>
        <w:instrText xml:space="preserve"> PAGEREF _Toc154936779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"_Toc154936780" </w:instrText>
      </w:r>
      <w:r>
        <w:fldChar w:fldCharType="separate"/>
      </w:r>
      <w:r>
        <w:rPr>
          <w:rStyle w:val="25"/>
        </w:rPr>
        <w:t>4.1</w:t>
      </w:r>
      <w:r>
        <w:rPr>
          <w:rFonts w:asciiTheme="minorHAnsi" w:hAnsiTheme="minorHAnsi" w:eastAsiaTheme="minorEastAsia" w:cstheme="minorBidi"/>
          <w:sz w:val="21"/>
          <w:szCs w:val="22"/>
          <w14:ligatures w14:val="standardContextual"/>
        </w:rPr>
        <w:tab/>
      </w:r>
      <w:r>
        <w:rPr>
          <w:rStyle w:val="25"/>
        </w:rPr>
        <w:t>原理概要</w:t>
      </w:r>
      <w:r>
        <w:tab/>
      </w:r>
      <w:r>
        <w:fldChar w:fldCharType="begin"/>
      </w:r>
      <w:r>
        <w:instrText xml:space="preserve"> PAGEREF _Toc154936780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"_Toc154936781" </w:instrText>
      </w:r>
      <w:r>
        <w:fldChar w:fldCharType="separate"/>
      </w:r>
      <w:r>
        <w:rPr>
          <w:rStyle w:val="25"/>
        </w:rPr>
        <w:t>4.2</w:t>
      </w:r>
      <w:r>
        <w:rPr>
          <w:rFonts w:asciiTheme="minorHAnsi" w:hAnsiTheme="minorHAnsi" w:eastAsiaTheme="minorEastAsia" w:cstheme="minorBidi"/>
          <w:sz w:val="21"/>
          <w:szCs w:val="22"/>
          <w14:ligatures w14:val="standardContextual"/>
        </w:rPr>
        <w:tab/>
      </w:r>
      <w:r>
        <w:rPr>
          <w:rStyle w:val="25"/>
        </w:rPr>
        <w:t>质量定律</w:t>
      </w:r>
      <w:r>
        <w:tab/>
      </w:r>
      <w:r>
        <w:fldChar w:fldCharType="begin"/>
      </w:r>
      <w:r>
        <w:instrText xml:space="preserve"> PAGEREF _Toc154936781 \h </w:instrText>
      </w:r>
      <w:r>
        <w:fldChar w:fldCharType="separate"/>
      </w:r>
      <w:r>
        <w:t>5</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"_Toc154936782" </w:instrText>
      </w:r>
      <w:r>
        <w:fldChar w:fldCharType="separate"/>
      </w:r>
      <w:r>
        <w:rPr>
          <w:rStyle w:val="25"/>
        </w:rPr>
        <w:t>4.3</w:t>
      </w:r>
      <w:r>
        <w:rPr>
          <w:rFonts w:asciiTheme="minorHAnsi" w:hAnsiTheme="minorHAnsi" w:eastAsiaTheme="minorEastAsia" w:cstheme="minorBidi"/>
          <w:sz w:val="21"/>
          <w:szCs w:val="22"/>
          <w14:ligatures w14:val="standardContextual"/>
        </w:rPr>
        <w:tab/>
      </w:r>
      <w:r>
        <w:rPr>
          <w:rStyle w:val="25"/>
        </w:rPr>
        <w:t>隔声量计算经验公式</w:t>
      </w:r>
      <w:r>
        <w:tab/>
      </w:r>
      <w:r>
        <w:fldChar w:fldCharType="begin"/>
      </w:r>
      <w:r>
        <w:instrText xml:space="preserve"> PAGEREF _Toc154936782 \h </w:instrText>
      </w:r>
      <w:r>
        <w:fldChar w:fldCharType="separate"/>
      </w:r>
      <w:r>
        <w:t>5</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"_Toc154936783" </w:instrText>
      </w:r>
      <w:r>
        <w:fldChar w:fldCharType="separate"/>
      </w:r>
      <w:r>
        <w:rPr>
          <w:rStyle w:val="25"/>
        </w:rPr>
        <w:t>4.4</w:t>
      </w:r>
      <w:r>
        <w:rPr>
          <w:rFonts w:asciiTheme="minorHAnsi" w:hAnsiTheme="minorHAnsi" w:eastAsiaTheme="minorEastAsia" w:cstheme="minorBidi"/>
          <w:sz w:val="21"/>
          <w:szCs w:val="22"/>
          <w14:ligatures w14:val="standardContextual"/>
        </w:rPr>
        <w:tab/>
      </w:r>
      <w:r>
        <w:rPr>
          <w:rStyle w:val="25"/>
        </w:rPr>
        <w:t>单值评价量</w:t>
      </w:r>
      <w:r>
        <w:tab/>
      </w:r>
      <w:r>
        <w:fldChar w:fldCharType="begin"/>
      </w:r>
      <w:r>
        <w:instrText xml:space="preserve"> PAGEREF _Toc154936783 \h </w:instrText>
      </w:r>
      <w:r>
        <w:fldChar w:fldCharType="separate"/>
      </w:r>
      <w:r>
        <w:t>6</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"_Toc154936784" </w:instrText>
      </w:r>
      <w:r>
        <w:fldChar w:fldCharType="separate"/>
      </w:r>
      <w:r>
        <w:rPr>
          <w:rStyle w:val="25"/>
        </w:rPr>
        <w:t>4.5</w:t>
      </w:r>
      <w:r>
        <w:rPr>
          <w:rFonts w:asciiTheme="minorHAnsi" w:hAnsiTheme="minorHAnsi" w:eastAsiaTheme="minorEastAsia" w:cstheme="minorBidi"/>
          <w:sz w:val="21"/>
          <w:szCs w:val="22"/>
          <w14:ligatures w14:val="standardContextual"/>
        </w:rPr>
        <w:tab/>
      </w:r>
      <w:r>
        <w:rPr>
          <w:rStyle w:val="25"/>
        </w:rPr>
        <w:t>频谱修正量</w:t>
      </w:r>
      <w:r>
        <w:tab/>
      </w:r>
      <w:r>
        <w:fldChar w:fldCharType="begin"/>
      </w:r>
      <w:r>
        <w:instrText xml:space="preserve"> PAGEREF _Toc154936784 \h </w:instrText>
      </w:r>
      <w:r>
        <w:fldChar w:fldCharType="separate"/>
      </w:r>
      <w:r>
        <w:t>7</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"_Toc154936785" </w:instrText>
      </w:r>
      <w:r>
        <w:fldChar w:fldCharType="separate"/>
      </w:r>
      <w:r>
        <w:rPr>
          <w:rStyle w:val="25"/>
        </w:rPr>
        <w:t>5</w:t>
      </w:r>
      <w:r>
        <w:rPr>
          <w:rFonts w:asciiTheme="minorHAnsi" w:hAnsiTheme="minorHAnsi" w:eastAsiaTheme="minorEastAsia" w:cstheme="minorBidi"/>
          <w:b w:val="0"/>
          <w:bCs w:val="0"/>
          <w:sz w:val="21"/>
          <w:szCs w:val="22"/>
          <w14:ligatures w14:val="standardContextual"/>
        </w:rPr>
        <w:tab/>
      </w:r>
      <w:r>
        <w:rPr>
          <w:rStyle w:val="25"/>
        </w:rPr>
        <w:t>构件空气声隔声性能</w:t>
      </w:r>
      <w:r>
        <w:tab/>
      </w:r>
      <w:r>
        <w:fldChar w:fldCharType="begin"/>
      </w:r>
      <w:r>
        <w:instrText xml:space="preserve"> PAGEREF _Toc154936785 \h </w:instrText>
      </w:r>
      <w:r>
        <w:fldChar w:fldCharType="separate"/>
      </w:r>
      <w:r>
        <w:t>8</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"_Toc154936786" </w:instrText>
      </w:r>
      <w:r>
        <w:fldChar w:fldCharType="separate"/>
      </w:r>
      <w:r>
        <w:rPr>
          <w:rStyle w:val="25"/>
        </w:rPr>
        <w:t>5.1</w:t>
      </w:r>
      <w:r>
        <w:rPr>
          <w:rFonts w:asciiTheme="minorHAnsi" w:hAnsiTheme="minorHAnsi" w:eastAsiaTheme="minorEastAsia" w:cstheme="minorBidi"/>
          <w:sz w:val="21"/>
          <w:szCs w:val="22"/>
          <w14:ligatures w14:val="standardContextual"/>
        </w:rPr>
        <w:tab/>
      </w:r>
      <w:r>
        <w:rPr>
          <w:rStyle w:val="25"/>
        </w:rPr>
        <w:t>墙板的空气声隔声量</w:t>
      </w:r>
      <w:r>
        <w:tab/>
      </w:r>
      <w:r>
        <w:fldChar w:fldCharType="begin"/>
      </w:r>
      <w:r>
        <w:instrText xml:space="preserve"> PAGEREF _Toc154936786 \h </w:instrText>
      </w:r>
      <w:r>
        <w:fldChar w:fldCharType="separate"/>
      </w:r>
      <w:r>
        <w:t>8</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"_Toc154936787" </w:instrText>
      </w:r>
      <w:r>
        <w:fldChar w:fldCharType="separate"/>
      </w:r>
      <w:r>
        <w:rPr>
          <w:rStyle w:val="25"/>
        </w:rPr>
        <w:t>5.1.1</w:t>
      </w:r>
      <w:r>
        <w:rPr>
          <w:rFonts w:asciiTheme="minorHAnsi" w:hAnsiTheme="minorHAnsi" w:eastAsiaTheme="minorEastAsia" w:cstheme="minorBidi"/>
          <w:sz w:val="21"/>
          <w:szCs w:val="22"/>
          <w14:ligatures w14:val="standardContextual"/>
        </w:rPr>
        <w:tab/>
      </w:r>
      <w:r>
        <w:rPr>
          <w:rStyle w:val="25"/>
        </w:rPr>
        <w:t>墙板构造做法</w:t>
      </w:r>
      <w:r>
        <w:tab/>
      </w:r>
      <w:r>
        <w:fldChar w:fldCharType="begin"/>
      </w:r>
      <w:r>
        <w:instrText xml:space="preserve"> PAGEREF _Toc154936787 \h </w:instrText>
      </w:r>
      <w:r>
        <w:fldChar w:fldCharType="separate"/>
      </w:r>
      <w:r>
        <w:t>8</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"_Toc154936788" </w:instrText>
      </w:r>
      <w:r>
        <w:fldChar w:fldCharType="separate"/>
      </w:r>
      <w:r>
        <w:rPr>
          <w:rStyle w:val="25"/>
        </w:rPr>
        <w:t>5.1.2</w:t>
      </w:r>
      <w:r>
        <w:rPr>
          <w:rFonts w:asciiTheme="minorHAnsi" w:hAnsiTheme="minorHAnsi" w:eastAsiaTheme="minorEastAsia" w:cstheme="minorBidi"/>
          <w:sz w:val="21"/>
          <w:szCs w:val="22"/>
          <w14:ligatures w14:val="standardContextual"/>
        </w:rPr>
        <w:tab/>
      </w:r>
      <w:r>
        <w:rPr>
          <w:rStyle w:val="25"/>
        </w:rPr>
        <w:t>墙板空气声隔声性能</w:t>
      </w:r>
      <w:r>
        <w:tab/>
      </w:r>
      <w:r>
        <w:fldChar w:fldCharType="begin"/>
      </w:r>
      <w:r>
        <w:instrText xml:space="preserve"> PAGEREF _Toc154936788 \h </w:instrText>
      </w:r>
      <w:r>
        <w:fldChar w:fldCharType="separate"/>
      </w:r>
      <w:r>
        <w:t>8</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"_Toc154936789" </w:instrText>
      </w:r>
      <w:r>
        <w:fldChar w:fldCharType="separate"/>
      </w:r>
      <w:r>
        <w:rPr>
          <w:rStyle w:val="25"/>
        </w:rPr>
        <w:t>5.2</w:t>
      </w:r>
      <w:r>
        <w:rPr>
          <w:rFonts w:asciiTheme="minorHAnsi" w:hAnsiTheme="minorHAnsi" w:eastAsiaTheme="minorEastAsia" w:cstheme="minorBidi"/>
          <w:sz w:val="21"/>
          <w:szCs w:val="22"/>
          <w14:ligatures w14:val="standardContextual"/>
        </w:rPr>
        <w:tab/>
      </w:r>
      <w:r>
        <w:rPr>
          <w:rStyle w:val="25"/>
        </w:rPr>
        <w:t>门窗的空气声隔声量</w:t>
      </w:r>
      <w:r>
        <w:tab/>
      </w:r>
      <w:r>
        <w:fldChar w:fldCharType="begin"/>
      </w:r>
      <w:r>
        <w:instrText xml:space="preserve"> PAGEREF _Toc154936789 \h </w:instrText>
      </w:r>
      <w:r>
        <w:fldChar w:fldCharType="separate"/>
      </w:r>
      <w:r>
        <w:t>9</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"_Toc154936790" </w:instrText>
      </w:r>
      <w:r>
        <w:fldChar w:fldCharType="separate"/>
      </w:r>
      <w:r>
        <w:rPr>
          <w:rStyle w:val="25"/>
        </w:rPr>
        <w:t>6</w:t>
      </w:r>
      <w:r>
        <w:rPr>
          <w:rFonts w:asciiTheme="minorHAnsi" w:hAnsiTheme="minorHAnsi" w:eastAsiaTheme="minorEastAsia" w:cstheme="minorBidi"/>
          <w:b w:val="0"/>
          <w:bCs w:val="0"/>
          <w:sz w:val="21"/>
          <w:szCs w:val="22"/>
          <w14:ligatures w14:val="standardContextual"/>
        </w:rPr>
        <w:tab/>
      </w:r>
      <w:r>
        <w:rPr>
          <w:rStyle w:val="25"/>
        </w:rPr>
        <w:t>楼板撞击声隔声性能</w:t>
      </w:r>
      <w:r>
        <w:tab/>
      </w:r>
      <w:r>
        <w:fldChar w:fldCharType="begin"/>
      </w:r>
      <w:r>
        <w:instrText xml:space="preserve"> PAGEREF _Toc154936790 \h </w:instrText>
      </w:r>
      <w:r>
        <w:fldChar w:fldCharType="separate"/>
      </w:r>
      <w:r>
        <w:t>9</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"_Toc154936791" </w:instrText>
      </w:r>
      <w:r>
        <w:fldChar w:fldCharType="separate"/>
      </w:r>
      <w:r>
        <w:rPr>
          <w:rStyle w:val="25"/>
        </w:rPr>
        <w:t>7</w:t>
      </w:r>
      <w:r>
        <w:rPr>
          <w:rFonts w:asciiTheme="minorHAnsi" w:hAnsiTheme="minorHAnsi" w:eastAsiaTheme="minorEastAsia" w:cstheme="minorBidi"/>
          <w:b w:val="0"/>
          <w:bCs w:val="0"/>
          <w:sz w:val="21"/>
          <w:szCs w:val="22"/>
          <w14:ligatures w14:val="standardContextual"/>
        </w:rPr>
        <w:tab/>
      </w:r>
      <w:r>
        <w:rPr>
          <w:rStyle w:val="25"/>
        </w:rPr>
        <w:t>结论</w:t>
      </w:r>
      <w:r>
        <w:tab/>
      </w:r>
      <w:r>
        <w:fldChar w:fldCharType="begin"/>
      </w:r>
      <w:r>
        <w:instrText xml:space="preserve"> PAGEREF _Toc154936791 \h </w:instrText>
      </w:r>
      <w:r>
        <w:fldChar w:fldCharType="separate"/>
      </w:r>
      <w:r>
        <w:t>9</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154936776"/>
      <w:r>
        <w:rPr>
          <w:rFonts w:hint="eastAsia"/>
        </w:rPr>
        <w:t>建筑概况</w:t>
      </w:r>
      <w:bookmarkEnd w:id="11"/>
    </w:p>
    <w:p>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工程名称</w:t>
            </w:r>
          </w:p>
        </w:tc>
        <w:tc>
          <w:tcPr>
            <w:tcW w:w="6056" w:type="dxa"/>
          </w:tcPr>
          <w:p>
            <w:pPr>
              <w:pStyle w:val="3"/>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建筑面积</w:t>
            </w:r>
            <w:r>
              <w:t>(m</w:t>
            </w:r>
            <w:r>
              <w:rPr>
                <w:vertAlign w:val="superscript"/>
              </w:rPr>
              <w:t>2</w:t>
            </w:r>
            <w:r>
              <w:t>)</w:t>
            </w:r>
          </w:p>
        </w:tc>
        <w:tc>
          <w:tcPr>
            <w:tcW w:w="6056" w:type="dxa"/>
          </w:tcPr>
          <w:p>
            <w:pPr>
              <w:pStyle w:val="3"/>
            </w:pPr>
            <w:r>
              <w:rPr>
                <w:rFonts w:hint="eastAsia"/>
              </w:rPr>
              <w:t xml:space="preserve">地上  </w:t>
            </w:r>
            <w:bookmarkStart w:id="13" w:name="地上建筑面积"/>
            <w:r>
              <w:t>1088</w:t>
            </w:r>
            <w:bookmarkEnd w:id="13"/>
            <w:r>
              <w:rPr>
                <w:rFonts w:hint="eastAsia"/>
              </w:rPr>
              <w:t xml:space="preserve">        地下</w:t>
            </w:r>
            <w:bookmarkStart w:id="14" w:name="地下建筑面积"/>
            <w:r>
              <w:t>0</w:t>
            </w:r>
            <w:bookmarkEnd w:id="14"/>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建筑层数</w:t>
            </w:r>
          </w:p>
        </w:tc>
        <w:tc>
          <w:tcPr>
            <w:tcW w:w="6056" w:type="dxa"/>
          </w:tcPr>
          <w:p>
            <w:pPr>
              <w:pStyle w:val="3"/>
            </w:pPr>
            <w:r>
              <w:rPr>
                <w:rFonts w:hint="eastAsia"/>
              </w:rPr>
              <w:t xml:space="preserve">地上 </w:t>
            </w:r>
            <w:bookmarkStart w:id="15" w:name="地上建筑层数"/>
            <w:r>
              <w:t>2</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建筑高度（</w:t>
            </w:r>
            <w:r>
              <w:t>m</w:t>
            </w:r>
            <w:r>
              <w:rPr>
                <w:rFonts w:hint="eastAsia"/>
              </w:rPr>
              <w:t>）</w:t>
            </w:r>
          </w:p>
        </w:tc>
        <w:tc>
          <w:tcPr>
            <w:tcW w:w="6056" w:type="dxa"/>
          </w:tcPr>
          <w:p>
            <w:pPr>
              <w:pStyle w:val="3"/>
            </w:pPr>
            <w:r>
              <w:rPr>
                <w:rFonts w:hint="eastAsia"/>
              </w:rPr>
              <w:t>地上</w:t>
            </w:r>
            <w:bookmarkStart w:id="17" w:name="地上建筑高度"/>
            <w:r>
              <w:t>8.8</w:t>
            </w:r>
            <w:bookmarkEnd w:id="17"/>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北向角度（°）</w:t>
            </w:r>
          </w:p>
        </w:tc>
        <w:tc>
          <w:tcPr>
            <w:tcW w:w="6056" w:type="dxa"/>
          </w:tcPr>
          <w:p>
            <w:pPr>
              <w:pStyle w:val="3"/>
            </w:pPr>
            <w:bookmarkStart w:id="18" w:name="北向角度"/>
            <w:r>
              <w:t>90</w:t>
            </w:r>
            <w:bookmarkEnd w:id="18"/>
          </w:p>
        </w:tc>
      </w:tr>
    </w:tbl>
    <w:p>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pPr>
        <w:jc w:val="center"/>
        <w:rPr>
          <w:b/>
          <w:i/>
          <w:lang w:val="en-US"/>
        </w:rPr>
      </w:pPr>
      <w:r>
        <w:rPr>
          <w:rFonts w:hint="eastAsia"/>
          <w:lang w:val="en-US"/>
        </w:rPr>
        <w:t>图</w:t>
      </w:r>
      <w:r>
        <w:rPr>
          <w:lang w:val="en-US"/>
        </w:rPr>
        <w:t xml:space="preserve">1-1 </w:t>
      </w:r>
      <w:r>
        <w:rPr>
          <w:rFonts w:hint="eastAsia"/>
          <w:lang w:val="en-US"/>
        </w:rPr>
        <w:t>建筑模型</w:t>
      </w:r>
    </w:p>
    <w:p>
      <w:pPr>
        <w:pStyle w:val="2"/>
        <w:ind w:left="669" w:hanging="669"/>
      </w:pPr>
      <w:bookmarkStart w:id="21" w:name="_Toc154936777"/>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 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numPr>
          <w:ilvl w:val="0"/>
          <w:numId w:val="2"/>
        </w:numPr>
        <w:rPr>
          <w:lang w:val="en-US"/>
        </w:rPr>
      </w:pPr>
      <w:r>
        <w:rPr>
          <w:rFonts w:hint="eastAsia"/>
          <w:lang w:val="en-US"/>
        </w:rPr>
        <w:t>《建筑设计资料集（</w:t>
      </w:r>
      <w:r>
        <w:rPr>
          <w:lang w:val="en-US"/>
        </w:rPr>
        <w:t>2</w:t>
      </w:r>
      <w:r>
        <w:rPr>
          <w:rFonts w:hint="eastAsia"/>
          <w:lang w:val="en-US"/>
        </w:rPr>
        <w:t>）第二版》</w:t>
      </w:r>
    </w:p>
    <w:p>
      <w:pPr>
        <w:pStyle w:val="2"/>
        <w:ind w:left="669" w:hanging="669"/>
      </w:pPr>
      <w:bookmarkStart w:id="23" w:name="_Toc154936778"/>
      <w:r>
        <w:rPr>
          <w:rFonts w:hint="eastAsia"/>
        </w:rPr>
        <w:t>标准</w:t>
      </w:r>
      <w:r>
        <w:t>要求</w:t>
      </w:r>
      <w:bookmarkEnd w:id="23"/>
    </w:p>
    <w:p>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主要功能房间的室内噪声级和隔声性能应符合下列规定：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楼板的撞击声隔声性能达到现行国家标准《民用建筑隔声设计规范》GB50118中的低限标准限值和高要求标准限值的平均值，得3分；达到高要求标准限值，得5分。</w:t>
      </w:r>
    </w:p>
    <w:p>
      <w:pPr>
        <w:pStyle w:val="2"/>
        <w:ind w:left="669" w:hanging="669"/>
        <w:rPr>
          <w:kern w:val="2"/>
        </w:rPr>
      </w:pPr>
      <w:bookmarkStart w:id="24" w:name="_Toc154936779"/>
      <w:bookmarkStart w:id="25" w:name="_Toc438716944"/>
      <w:r>
        <w:rPr>
          <w:rFonts w:hint="eastAsia"/>
          <w:kern w:val="2"/>
        </w:rPr>
        <w:t>隔声理论概述</w:t>
      </w:r>
      <w:bookmarkEnd w:id="24"/>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6" w:name="_Toc154936780"/>
      <w:r>
        <w:rPr>
          <w:rFonts w:hint="eastAsia"/>
        </w:rPr>
        <w:t>原理概要</w:t>
      </w:r>
      <w:bookmarkEnd w:id="26"/>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25" o:spt="75" type="#_x0000_t75" style="height:30.55pt;width:56.0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7" w:name="_Toc503800668"/>
      <w:bookmarkStart w:id="28" w:name="_Toc503800603"/>
      <w:bookmarkStart w:id="29" w:name="_Toc154936781"/>
      <w:bookmarkStart w:id="30" w:name="_Toc503275877"/>
      <w:r>
        <w:rPr>
          <w:rFonts w:hint="eastAsia"/>
        </w:rPr>
        <w:t>质量定律</w:t>
      </w:r>
      <w:bookmarkEnd w:id="27"/>
      <w:bookmarkEnd w:id="28"/>
      <w:bookmarkEnd w:id="29"/>
      <w:bookmarkEnd w:id="30"/>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26" o:spt="75" type="#_x0000_t75" style="height:41pt;width:107.1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1" w:name="_Toc154936782"/>
      <w:r>
        <w:t>隔声</w:t>
      </w:r>
      <w:r>
        <w:rPr>
          <w:rFonts w:hint="eastAsia"/>
        </w:rPr>
        <w:t>量计算经验</w:t>
      </w:r>
      <w:r>
        <w:t>公式</w:t>
      </w:r>
      <w:bookmarkEnd w:id="31"/>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20" w:firstLineChars="200"/>
        <w:jc w:val="center"/>
      </w:pPr>
      <w:r>
        <w:rPr>
          <w:lang w:val="en-US"/>
        </w:rPr>
        <w:drawing>
          <wp:inline distT="0" distB="0" distL="0" distR="0">
            <wp:extent cx="3360420" cy="51562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stretch>
                      <a:fillRect/>
                    </a:stretch>
                  </pic:blipFill>
                  <pic:spPr>
                    <a:xfrm>
                      <a:off x="0" y="0"/>
                      <a:ext cx="3431722" cy="526650"/>
                    </a:xfrm>
                    <a:prstGeom prst="rect">
                      <a:avLst/>
                    </a:prstGeom>
                  </pic:spPr>
                </pic:pic>
              </a:graphicData>
            </a:graphic>
          </wp:inline>
        </w:drawing>
      </w:r>
    </w:p>
    <w:p>
      <w:pPr>
        <w:pStyle w:val="3"/>
        <w:ind w:firstLine="420" w:firstLineChars="200"/>
        <w:jc w:val="center"/>
      </w:pPr>
    </w:p>
    <w:p>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pPr>
        <w:jc w:val="center"/>
        <w:rPr>
          <w:lang w:val="en-US"/>
        </w:rPr>
      </w:pPr>
      <w:r>
        <w:rPr>
          <w:rFonts w:hint="eastAsia"/>
          <w:lang w:val="en-US"/>
        </w:rPr>
        <w:t>图4-5构件500Hz隔声曲线</w:t>
      </w:r>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2" w:name="_Toc154936783"/>
      <w:r>
        <w:rPr>
          <w:rFonts w:hint="eastAsia"/>
        </w:rPr>
        <w:t>单值评价量</w:t>
      </w:r>
      <w:bookmarkEnd w:id="32"/>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0"/>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27" o:spt="75" type="#_x0000_t75" style="height:16.4pt;width:16.4pt;" o:ole="t" filled="f" o:preferrelative="t" stroked="f" coordsize="21600,21600">
            <v:path/>
            <v:fill on="f" focussize="0,0"/>
            <v:stroke on="f" joinstyle="miter"/>
            <v:imagedata r:id="rId22" o:title=""/>
            <o:lock v:ext="edit" aspectratio="t"/>
            <w10:wrap type="none"/>
            <w10:anchorlock/>
          </v:shape>
          <o:OLEObject Type="Embed" ProgID="Equation.DSMT4" ShapeID="_x0000_i1027" DrawAspect="Content" ObjectID="_1468075727" r:id="rId21">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8" o:spt="75" type="#_x0000_t75" style="height:16.4pt;width:11.85pt;" o:ole="t" filled="f" o:preferrelative="t" stroked="f" coordsize="21600,21600">
            <v:path/>
            <v:fill on="f" focussize="0,0"/>
            <v:stroke on="f" joinstyle="miter"/>
            <v:imagedata r:id="rId24" o:title=""/>
            <o:lock v:ext="edit" aspectratio="t"/>
            <w10:wrap type="none"/>
            <w10:anchorlock/>
          </v:shape>
          <o:OLEObject Type="Embed" ProgID="Equation.DSMT4" ShapeID="_x0000_i1028" DrawAspect="Content" ObjectID="_1468075728" r:id="rId23">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9" o:spt="75" type="#_x0000_t75" style="height:14.15pt;width:11.85pt;" o:ole="t" filled="f" o:preferrelative="t" stroked="f" coordsize="21600,21600">
            <v:path/>
            <v:fill on="f" focussize="0,0"/>
            <v:stroke on="f" joinstyle="miter"/>
            <v:imagedata r:id="rId26" o:title=""/>
            <o:lock v:ext="edit" aspectratio="t"/>
            <w10:wrap type="none"/>
            <w10:anchorlock/>
          </v:shape>
          <o:OLEObject Type="Embed" ProgID="Equation.DSMT4" ShapeID="_x0000_i1029" DrawAspect="Content" ObjectID="_1468075729" r:id="rId25">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7"/>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8"/>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0" o:spt="75" type="#_x0000_t75" style="height:16.4pt;width:18.7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9">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1" o:spt="75" type="#_x0000_t75" style="height:16.4pt;width:11.85pt;" o:ole="t" filled="f" o:preferrelative="t" stroked="f" coordsize="21600,21600">
            <v:path/>
            <v:fill on="f" focussize="0,0"/>
            <v:stroke on="f" joinstyle="miter"/>
            <v:imagedata r:id="rId26" o:title=""/>
            <o:lock v:ext="edit" aspectratio="t"/>
            <w10:wrap type="none"/>
            <w10:anchorlock/>
          </v:shape>
          <o:OLEObject Type="Embed" ProgID="Equation.DSMT4" ShapeID="_x0000_i1031" DrawAspect="Content" ObjectID="_1468075731" r:id="rId30">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bookmarkStart w:id="33" w:name="_Toc154936784"/>
      <w:r>
        <w:rPr>
          <w:rFonts w:hint="eastAsia"/>
        </w:rPr>
        <w:t>频谱修正量</w:t>
      </w:r>
      <w:bookmarkEnd w:id="33"/>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31"/>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ind w:firstLine="480"/>
        <w:jc w:val="center"/>
        <w:rPr>
          <w:rFonts w:ascii="宋体" w:hAnsi="宋体"/>
        </w:rPr>
      </w:pPr>
    </w:p>
    <w:p>
      <w:pPr>
        <w:pStyle w:val="2"/>
        <w:ind w:left="669" w:hanging="669"/>
      </w:pPr>
      <w:bookmarkStart w:id="34" w:name="_Toc154936785"/>
      <w:r>
        <w:rPr>
          <w:rFonts w:hint="eastAsia"/>
        </w:rPr>
        <w:t>构件空气声隔声性能</w:t>
      </w:r>
      <w:bookmarkEnd w:id="34"/>
    </w:p>
    <w:p>
      <w:pPr>
        <w:pStyle w:val="4"/>
      </w:pPr>
      <w:bookmarkStart w:id="35" w:name="_Toc154936786"/>
      <w:r>
        <w:rPr>
          <w:rFonts w:hint="eastAsia"/>
        </w:rPr>
        <w:t>墙板的空气声隔声量</w:t>
      </w:r>
      <w:bookmarkEnd w:id="35"/>
    </w:p>
    <w:p>
      <w:pPr>
        <w:pStyle w:val="5"/>
      </w:pPr>
      <w:bookmarkStart w:id="36" w:name="_Toc154936787"/>
      <w:r>
        <w:rPr>
          <w:rFonts w:hint="eastAsia"/>
        </w:rPr>
        <w:t>墙板构造做法</w:t>
      </w:r>
      <w:bookmarkEnd w:id="36"/>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9"/>
        <w:gridCol w:w="3538"/>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r>
              <w:t>构件</w:t>
            </w:r>
          </w:p>
        </w:tc>
        <w:tc>
          <w:tcPr>
            <w:tcW w:w="3537" w:type="dxa"/>
            <w:shd w:val="clear" w:color="auto" w:fill="E6E6E6"/>
            <w:vAlign w:val="center"/>
          </w:tcPr>
          <w:p>
            <w:pPr>
              <w:jc w:val="center"/>
            </w:pPr>
            <w:r>
              <w:t>材料</w:t>
            </w:r>
          </w:p>
        </w:tc>
        <w:tc>
          <w:tcPr>
            <w:tcW w:w="990" w:type="dxa"/>
            <w:shd w:val="clear" w:color="auto" w:fill="E6E6E6"/>
            <w:vAlign w:val="center"/>
          </w:tcPr>
          <w:p>
            <w:pPr>
              <w:jc w:val="center"/>
            </w:pPr>
            <w:r>
              <w:t>厚度(mm)</w:t>
            </w:r>
          </w:p>
        </w:tc>
        <w:tc>
          <w:tcPr>
            <w:tcW w:w="990" w:type="dxa"/>
            <w:shd w:val="clear" w:color="auto" w:fill="E6E6E6"/>
            <w:vAlign w:val="center"/>
          </w:tcPr>
          <w:p>
            <w:pPr>
              <w:jc w:val="center"/>
            </w:pPr>
            <w:r>
              <w:t>密度(kg/m</w:t>
            </w:r>
            <w:r>
              <w:rPr>
                <w:vertAlign w:val="superscript"/>
              </w:rPr>
              <w:t>3</w:t>
            </w:r>
            <w:r>
              <w:t>)</w:t>
            </w:r>
          </w:p>
        </w:tc>
        <w:tc>
          <w:tcPr>
            <w:tcW w:w="990" w:type="dxa"/>
            <w:shd w:val="clear" w:color="auto" w:fill="E6E6E6"/>
            <w:vAlign w:val="center"/>
          </w:tcPr>
          <w:p>
            <w:pPr>
              <w:jc w:val="center"/>
            </w:pPr>
            <w:r>
              <w:t>面密度(kg/m</w:t>
            </w:r>
            <w:r>
              <w:rPr>
                <w:vertAlign w:val="superscript"/>
              </w:rPr>
              <w:t>2</w:t>
            </w:r>
            <w:r>
              <w:t>)</w:t>
            </w:r>
          </w:p>
        </w:tc>
        <w:tc>
          <w:tcPr>
            <w:tcW w:w="1126" w:type="dxa"/>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外墙</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609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挤塑聚苯乙烯泡沫塑料（带表皮）</w:t>
            </w:r>
          </w:p>
        </w:tc>
        <w:tc>
          <w:tcPr>
            <w:tcW w:w="990" w:type="dxa"/>
            <w:vAlign w:val="center"/>
          </w:tcPr>
          <w:p>
            <w:pPr>
              <w:jc w:val="center"/>
            </w:pPr>
            <w:r>
              <w:t>140</w:t>
            </w:r>
          </w:p>
        </w:tc>
        <w:tc>
          <w:tcPr>
            <w:tcW w:w="990" w:type="dxa"/>
            <w:vAlign w:val="center"/>
          </w:tcPr>
          <w:p>
            <w:pPr>
              <w:jc w:val="center"/>
            </w:pPr>
            <w:r>
              <w:t>35</w:t>
            </w:r>
          </w:p>
        </w:tc>
        <w:tc>
          <w:tcPr>
            <w:tcW w:w="990" w:type="dxa"/>
            <w:vAlign w:val="center"/>
          </w:tcPr>
          <w:p>
            <w:pPr>
              <w:jc w:val="center"/>
            </w:pPr>
            <w:r>
              <w:t>5</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200</w:t>
            </w:r>
          </w:p>
        </w:tc>
        <w:tc>
          <w:tcPr>
            <w:tcW w:w="990" w:type="dxa"/>
            <w:vAlign w:val="center"/>
          </w:tcPr>
          <w:p>
            <w:pPr>
              <w:jc w:val="center"/>
            </w:pPr>
            <w:r>
              <w:t>2500</w:t>
            </w:r>
          </w:p>
        </w:tc>
        <w:tc>
          <w:tcPr>
            <w:tcW w:w="990" w:type="dxa"/>
            <w:vAlign w:val="center"/>
          </w:tcPr>
          <w:p>
            <w:pPr>
              <w:jc w:val="center"/>
            </w:pPr>
            <w:r>
              <w:t>500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隔墙</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混凝土多孔砖(190六孔砖）</w:t>
            </w:r>
          </w:p>
        </w:tc>
        <w:tc>
          <w:tcPr>
            <w:tcW w:w="990" w:type="dxa"/>
            <w:vAlign w:val="center"/>
          </w:tcPr>
          <w:p>
            <w:pPr>
              <w:jc w:val="center"/>
            </w:pPr>
            <w:r>
              <w:t>190</w:t>
            </w:r>
          </w:p>
        </w:tc>
        <w:tc>
          <w:tcPr>
            <w:tcW w:w="990" w:type="dxa"/>
            <w:vAlign w:val="center"/>
          </w:tcPr>
          <w:p>
            <w:pPr>
              <w:jc w:val="center"/>
            </w:pPr>
            <w:r>
              <w:t>1450</w:t>
            </w:r>
          </w:p>
        </w:tc>
        <w:tc>
          <w:tcPr>
            <w:tcW w:w="990" w:type="dxa"/>
            <w:vAlign w:val="center"/>
          </w:tcPr>
          <w:p>
            <w:pPr>
              <w:jc w:val="center"/>
            </w:pPr>
            <w:r>
              <w:t>276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屋顶</w:t>
            </w:r>
          </w:p>
        </w:tc>
        <w:tc>
          <w:tcPr>
            <w:tcW w:w="3537" w:type="dxa"/>
            <w:vAlign w:val="center"/>
          </w:tcPr>
          <w:p>
            <w:r>
              <w:t>碎石、卵石混凝土(ρ=2300)</w:t>
            </w:r>
          </w:p>
        </w:tc>
        <w:tc>
          <w:tcPr>
            <w:tcW w:w="990" w:type="dxa"/>
            <w:vAlign w:val="center"/>
          </w:tcPr>
          <w:p>
            <w:pPr>
              <w:jc w:val="center"/>
            </w:pPr>
            <w:r>
              <w:t>40</w:t>
            </w:r>
          </w:p>
        </w:tc>
        <w:tc>
          <w:tcPr>
            <w:tcW w:w="990" w:type="dxa"/>
            <w:vAlign w:val="center"/>
          </w:tcPr>
          <w:p>
            <w:pPr>
              <w:jc w:val="center"/>
            </w:pPr>
            <w:r>
              <w:t>2300</w:t>
            </w:r>
          </w:p>
        </w:tc>
        <w:tc>
          <w:tcPr>
            <w:tcW w:w="990" w:type="dxa"/>
            <w:vAlign w:val="center"/>
          </w:tcPr>
          <w:p>
            <w:pPr>
              <w:jc w:val="center"/>
            </w:pPr>
            <w:r>
              <w:t>92</w:t>
            </w:r>
          </w:p>
        </w:tc>
        <w:tc>
          <w:tcPr>
            <w:tcW w:w="1126" w:type="dxa"/>
            <w:vMerge w:val="restart"/>
            <w:vAlign w:val="center"/>
          </w:tcPr>
          <w:p>
            <w:pPr>
              <w:jc w:val="center"/>
            </w:pPr>
            <w:r>
              <w:t>520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挤塑聚苯乙烯泡沫塑料（带表皮）</w:t>
            </w:r>
          </w:p>
        </w:tc>
        <w:tc>
          <w:tcPr>
            <w:tcW w:w="990" w:type="dxa"/>
            <w:vAlign w:val="center"/>
          </w:tcPr>
          <w:p>
            <w:pPr>
              <w:jc w:val="center"/>
            </w:pPr>
            <w:r>
              <w:t>120</w:t>
            </w:r>
          </w:p>
        </w:tc>
        <w:tc>
          <w:tcPr>
            <w:tcW w:w="990" w:type="dxa"/>
            <w:vAlign w:val="center"/>
          </w:tcPr>
          <w:p>
            <w:pPr>
              <w:jc w:val="center"/>
            </w:pPr>
            <w:r>
              <w:t>35</w:t>
            </w:r>
          </w:p>
        </w:tc>
        <w:tc>
          <w:tcPr>
            <w:tcW w:w="990" w:type="dxa"/>
            <w:vAlign w:val="center"/>
          </w:tcPr>
          <w:p>
            <w:pPr>
              <w:jc w:val="center"/>
            </w:pPr>
            <w:r>
              <w:t>4</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加气混凝土、泡沫混凝土(ρ=700)</w:t>
            </w:r>
          </w:p>
        </w:tc>
        <w:tc>
          <w:tcPr>
            <w:tcW w:w="990" w:type="dxa"/>
            <w:vAlign w:val="center"/>
          </w:tcPr>
          <w:p>
            <w:pPr>
              <w:jc w:val="center"/>
            </w:pPr>
            <w:r>
              <w:t>80</w:t>
            </w:r>
          </w:p>
        </w:tc>
        <w:tc>
          <w:tcPr>
            <w:tcW w:w="990" w:type="dxa"/>
            <w:vAlign w:val="center"/>
          </w:tcPr>
          <w:p>
            <w:pPr>
              <w:jc w:val="center"/>
            </w:pPr>
            <w:r>
              <w:t>700</w:t>
            </w:r>
          </w:p>
        </w:tc>
        <w:tc>
          <w:tcPr>
            <w:tcW w:w="990" w:type="dxa"/>
            <w:vAlign w:val="center"/>
          </w:tcPr>
          <w:p>
            <w:pPr>
              <w:jc w:val="center"/>
            </w:pPr>
            <w:r>
              <w:t>56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120</w:t>
            </w:r>
          </w:p>
        </w:tc>
        <w:tc>
          <w:tcPr>
            <w:tcW w:w="990" w:type="dxa"/>
            <w:vAlign w:val="center"/>
          </w:tcPr>
          <w:p>
            <w:pPr>
              <w:jc w:val="center"/>
            </w:pPr>
            <w:r>
              <w:t>2500</w:t>
            </w:r>
          </w:p>
        </w:tc>
        <w:tc>
          <w:tcPr>
            <w:tcW w:w="990" w:type="dxa"/>
            <w:vAlign w:val="center"/>
          </w:tcPr>
          <w:p>
            <w:pPr>
              <w:jc w:val="center"/>
            </w:pPr>
            <w:r>
              <w:t>300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楼板</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120</w:t>
            </w:r>
          </w:p>
        </w:tc>
        <w:tc>
          <w:tcPr>
            <w:tcW w:w="990" w:type="dxa"/>
            <w:vAlign w:val="center"/>
          </w:tcPr>
          <w:p>
            <w:pPr>
              <w:jc w:val="center"/>
            </w:pPr>
            <w:r>
              <w:t>2500</w:t>
            </w:r>
          </w:p>
        </w:tc>
        <w:tc>
          <w:tcPr>
            <w:tcW w:w="990" w:type="dxa"/>
            <w:vAlign w:val="center"/>
          </w:tcPr>
          <w:p>
            <w:pPr>
              <w:jc w:val="center"/>
            </w:pPr>
            <w:r>
              <w:t>300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bl>
    <w:p>
      <w:pPr>
        <w:pStyle w:val="13"/>
        <w:ind w:firstLine="420" w:firstLineChars="0"/>
        <w:jc w:val="center"/>
        <w:rPr>
          <w:rFonts w:ascii="宋体" w:hAnsi="宋体" w:eastAsia="宋体"/>
          <w:color w:val="000000"/>
          <w:sz w:val="21"/>
          <w:szCs w:val="21"/>
        </w:rPr>
      </w:pPr>
      <w:bookmarkStart w:id="37" w:name="围护结构材料清单"/>
      <w:bookmarkEnd w:id="37"/>
    </w:p>
    <w:p>
      <w:pPr>
        <w:pStyle w:val="5"/>
      </w:pPr>
      <w:bookmarkStart w:id="38" w:name="_Toc154936788"/>
      <w:r>
        <w:rPr>
          <w:rFonts w:hint="eastAsia"/>
        </w:rPr>
        <w:t>墙板空气声隔声性能</w:t>
      </w:r>
      <w:bookmarkEnd w:id="38"/>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pPr>
        <w:pStyle w:val="3"/>
        <w:ind w:left="840"/>
      </w:pPr>
      <m:oMathPara>
        <m:oMath>
          <m:r>
            <m:rPr/>
            <w:rPr>
              <w:rFonts w:ascii="Cambria Math" w:hAnsi="Cambria Math"/>
            </w:rPr>
            <m:t>R=</m:t>
          </m:r>
          <w:bookmarkStart w:id="39" w:name="公式A1"/>
          <m:r>
            <m:rPr>
              <m:sty m:val="p"/>
            </m:rPr>
            <m:t>23</m:t>
          </m:r>
          <w:bookmarkEnd w:id="39"/>
          <m:r>
            <m:rPr/>
            <w:rPr>
              <w:rFonts w:ascii="Cambria Math" w:hAnsi="Cambria Math"/>
            </w:rPr>
            <m:t>lgm+</m:t>
          </m:r>
          <w:bookmarkStart w:id="40" w:name="公式B1"/>
          <m:r>
            <m:rPr>
              <m:sty m:val="p"/>
            </m:rPr>
            <m:t>11</m:t>
          </m:r>
          <w:bookmarkEnd w:id="40"/>
          <m:r>
            <m:rPr/>
            <w:rPr>
              <w:rFonts w:ascii="Cambria Math" w:hAnsi="Cambria Math"/>
            </w:rPr>
            <m:t>lgf</m:t>
          </m:r>
          <w:bookmarkStart w:id="41" w:name="公式C1"/>
          <m:r>
            <m:rPr>
              <m:sty m:val="p"/>
            </m:rPr>
            <m:t>−41</m:t>
          </m:r>
          <w:bookmarkEnd w:id="41"/>
          <m:r>
            <m:rPr/>
            <w:rPr>
              <w:rFonts w:ascii="Cambria Math" w:hAnsi="Cambria Math"/>
            </w:rPr>
            <m:t xml:space="preserve">         (m≥200kg/</m:t>
          </m:r>
          <m:r>
            <m:rPr/>
            <w:rPr>
              <w:rFonts w:hint="eastAsia" w:ascii="Cambria Math" w:hAnsi="Cambria Math"/>
            </w:rPr>
            <m:t>㎡）</m:t>
          </m:r>
        </m:oMath>
      </m:oMathPara>
    </w:p>
    <w:p>
      <w:pPr>
        <w:pStyle w:val="3"/>
        <w:ind w:left="840"/>
        <w:rPr>
          <w:color w:val="FF0000"/>
        </w:rPr>
      </w:pPr>
      <m:oMathPara>
        <m:oMath>
          <m:r>
            <m:rPr/>
            <w:rPr>
              <w:rFonts w:ascii="Cambria Math" w:hAnsi="Cambria Math"/>
            </w:rPr>
            <m:t>R=</m:t>
          </m:r>
          <w:bookmarkStart w:id="42" w:name="公式A2"/>
          <m:r>
            <m:rPr>
              <m:sty m:val="p"/>
            </m:rPr>
            <m:t>13</m:t>
          </m:r>
          <w:bookmarkEnd w:id="42"/>
          <m:r>
            <m:rPr/>
            <w:rPr>
              <w:rFonts w:ascii="Cambria Math" w:hAnsi="Cambria Math"/>
            </w:rPr>
            <m:t>lgm+</m:t>
          </m:r>
          <w:bookmarkStart w:id="43" w:name="公式B2"/>
          <m:r>
            <m:rPr>
              <m:sty m:val="p"/>
            </m:rPr>
            <m:t>11</m:t>
          </m:r>
          <w:bookmarkEnd w:id="43"/>
          <m:r>
            <m:rPr/>
            <w:rPr>
              <w:rFonts w:ascii="Cambria Math" w:hAnsi="Cambria Math"/>
            </w:rPr>
            <m:t>lgf</m:t>
          </m:r>
          <w:bookmarkStart w:id="44" w:name="公式C2"/>
          <m:r>
            <m:rPr>
              <m:sty m:val="p"/>
            </m:rPr>
            <m:t>−18</m:t>
          </m:r>
          <w:bookmarkEnd w:id="44"/>
          <m:r>
            <m:rPr/>
            <w:rPr>
              <w:rFonts w:ascii="Cambria Math" w:hAnsi="Cambria Math"/>
            </w:rPr>
            <m:t xml:space="preserve">        (m≤200kg/</m:t>
          </m:r>
          <m:r>
            <m:rPr/>
            <w:rPr>
              <w:rFonts w:hint="eastAsia" w:ascii="Cambria Math" w:hAnsi="Cambria Math"/>
            </w:rPr>
            <m:t>㎡）</m:t>
          </m:r>
        </m:oMath>
      </m:oMathPara>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840"/>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p>
      <w:pPr>
        <w:pStyle w:val="13"/>
        <w:ind w:firstLine="420" w:firstLineChars="0"/>
        <w:jc w:val="left"/>
        <w:rPr>
          <w:rFonts w:ascii="宋体" w:hAnsi="宋体" w:eastAsia="宋体"/>
          <w:kern w:val="0"/>
          <w:sz w:val="21"/>
          <w:szCs w:val="21"/>
        </w:rPr>
      </w:pPr>
      <w:bookmarkStart w:id="45" w:name="墙板空气声隔声量"/>
      <w:bookmarkEnd w:id="45"/>
      <w:r>
        <w:rPr>
          <w:rFonts w:ascii="宋体" w:hAnsi="宋体" w:eastAsia="宋体"/>
          <w:kern w:val="0"/>
          <w:sz w:val="21"/>
          <w:szCs w:val="21"/>
        </w:rPr>
        <w:t>本工程无此项评价</w:t>
      </w:r>
    </w:p>
    <w:p>
      <w:pPr>
        <w:pStyle w:val="3"/>
        <w:rPr>
          <w:lang w:val="en-US"/>
        </w:rPr>
      </w:pPr>
    </w:p>
    <w:p>
      <w:pPr>
        <w:pStyle w:val="4"/>
      </w:pPr>
      <w:bookmarkStart w:id="46" w:name="_Toc154936789"/>
      <w:r>
        <w:rPr>
          <w:rFonts w:hint="eastAsia"/>
        </w:rPr>
        <w:t>门窗的空气声隔声量</w:t>
      </w:r>
      <w:bookmarkEnd w:id="46"/>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p>
      <w:pPr>
        <w:pStyle w:val="13"/>
        <w:ind w:firstLine="420" w:firstLineChars="0"/>
        <w:jc w:val="left"/>
        <w:rPr>
          <w:rFonts w:ascii="宋体" w:hAnsi="宋体" w:eastAsia="宋体"/>
          <w:kern w:val="0"/>
          <w:sz w:val="21"/>
          <w:szCs w:val="21"/>
        </w:rPr>
      </w:pPr>
      <w:bookmarkStart w:id="47" w:name="门窗空气声隔声量"/>
      <w:bookmarkEnd w:id="47"/>
      <w:r>
        <w:rPr>
          <w:rFonts w:ascii="宋体" w:hAnsi="宋体" w:eastAsia="宋体"/>
          <w:kern w:val="0"/>
          <w:sz w:val="21"/>
          <w:szCs w:val="21"/>
        </w:rPr>
        <w:t>本工程无此项评价</w:t>
      </w:r>
    </w:p>
    <w:p>
      <w:pPr>
        <w:pStyle w:val="2"/>
        <w:ind w:left="669" w:hanging="669"/>
      </w:pPr>
      <w:bookmarkStart w:id="48" w:name="_Toc154936790"/>
      <w:r>
        <w:rPr>
          <w:rFonts w:hint="eastAsia"/>
        </w:rPr>
        <w:t>楼板撞击声隔声性能</w:t>
      </w:r>
      <w:bookmarkEnd w:id="48"/>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p>
      <w:pPr>
        <w:rPr>
          <w:lang w:val="en-US"/>
        </w:rPr>
      </w:pPr>
      <w:bookmarkStart w:id="49" w:name="撞击声隔声"/>
      <w:bookmarkEnd w:id="49"/>
      <w:r>
        <w:rPr>
          <w:lang w:val="en-US"/>
        </w:rPr>
        <w:t>本工程无此项评价</w:t>
      </w:r>
    </w:p>
    <w:bookmarkEnd w:id="25"/>
    <w:p>
      <w:pPr>
        <w:pStyle w:val="2"/>
        <w:ind w:left="669" w:hanging="669"/>
        <w:rPr>
          <w:kern w:val="2"/>
        </w:rPr>
      </w:pPr>
      <w:bookmarkStart w:id="50" w:name="_Toc154936791"/>
      <w:r>
        <w:rPr>
          <w:rFonts w:hint="eastAsia"/>
          <w:kern w:val="2"/>
        </w:rPr>
        <w:t>结论</w:t>
      </w:r>
      <w:bookmarkEnd w:id="50"/>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p>
      <w:bookmarkStart w:id="51" w:name="构件隔声性能统计"/>
      <w:bookmarkEnd w:id="51"/>
      <w:r>
        <w:t>本工程无此项评价</w:t>
      </w:r>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p>
      <w:bookmarkStart w:id="52" w:name="撞击声隔声性能统计"/>
      <w:bookmarkEnd w:id="52"/>
      <w:r>
        <w:t>本工程无此项评价</w:t>
      </w:r>
    </w:p>
    <w:p>
      <w:pPr>
        <w:pStyle w:val="13"/>
        <w:spacing w:line="360" w:lineRule="auto"/>
        <w:ind w:firstLine="0" w:firstLineChars="0"/>
        <w:rPr>
          <w:rFonts w:ascii="宋体" w:hAnsi="宋体" w:eastAsia="宋体"/>
          <w:sz w:val="21"/>
          <w:szCs w:val="21"/>
        </w:rPr>
      </w:pPr>
    </w:p>
    <w:p>
      <w:pPr>
        <w:pStyle w:val="3"/>
      </w:pPr>
      <w:r>
        <w:rPr>
          <w:rFonts w:hint="eastAsia" w:ascii="宋体" w:hAnsi="宋体"/>
        </w:rPr>
        <w:t xml:space="preserve">    综上，根据《绿色建筑评</w:t>
      </w:r>
      <w:r>
        <w:t>价标准》GB/T50378-2019和《民用建筑隔声设计规范》GB50118-</w:t>
      </w:r>
    </w:p>
    <w:p>
      <w:pPr>
        <w:pStyle w:val="3"/>
        <w:rPr>
          <w:rFonts w:ascii="宋体" w:hAnsi="宋体"/>
        </w:rPr>
      </w:pPr>
      <w:r>
        <w:t>2010评价要求，可</w:t>
      </w:r>
      <w:r>
        <w:rPr>
          <w:rFonts w:hint="eastAsia" w:ascii="宋体" w:hAnsi="宋体"/>
        </w:rPr>
        <w:t>得围护结构隔声评价结果及得分情况如下表：</w:t>
      </w:r>
    </w:p>
    <w:p>
      <w:pPr>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897"/>
        <w:gridCol w:w="138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Cs/>
              </w:rPr>
            </w:pPr>
            <w:r>
              <w:rPr>
                <w:bCs/>
              </w:rPr>
              <w:t>检查项</w:t>
            </w:r>
          </w:p>
        </w:tc>
        <w:tc>
          <w:tcPr>
            <w:tcW w:w="5897" w:type="dxa"/>
            <w:shd w:val="clear" w:color="auto" w:fill="E6E6E6"/>
          </w:tcPr>
          <w:p>
            <w:pPr>
              <w:jc w:val="center"/>
              <w:rPr>
                <w:bCs/>
              </w:rPr>
            </w:pPr>
            <w:r>
              <w:rPr>
                <w:rFonts w:hint="eastAsia"/>
                <w:bCs/>
              </w:rPr>
              <w:t>评价</w:t>
            </w:r>
            <w:r>
              <w:rPr>
                <w:bCs/>
              </w:rPr>
              <w:t>依据</w:t>
            </w:r>
          </w:p>
        </w:tc>
        <w:tc>
          <w:tcPr>
            <w:tcW w:w="1381" w:type="dxa"/>
            <w:shd w:val="clear" w:color="auto" w:fill="E6E6E6"/>
            <w:vAlign w:val="center"/>
          </w:tcPr>
          <w:p>
            <w:pPr>
              <w:jc w:val="center"/>
              <w:rPr>
                <w:bCs/>
              </w:rPr>
            </w:pPr>
            <w:r>
              <w:rPr>
                <w:bCs/>
              </w:rPr>
              <w:t>结论</w:t>
            </w:r>
          </w:p>
        </w:tc>
        <w:tc>
          <w:tcPr>
            <w:tcW w:w="737" w:type="dxa"/>
            <w:shd w:val="clear" w:color="auto" w:fill="E6E6E6"/>
            <w:vAlign w:val="center"/>
          </w:tcPr>
          <w:p>
            <w:pPr>
              <w:jc w:val="center"/>
              <w:rPr>
                <w:bCs/>
              </w:rPr>
            </w:pPr>
            <w:r>
              <w:rPr>
                <w:bCs/>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rPr>
                <w:sz w:val="18"/>
                <w:szCs w:val="18"/>
              </w:rPr>
            </w:pPr>
            <w:r>
              <w:rPr>
                <w:rFonts w:hint="eastAsia"/>
                <w:sz w:val="18"/>
                <w:szCs w:val="18"/>
              </w:rPr>
              <w:t>空气声隔声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b/>
                <w:bCs/>
                <w:lang w:val="en-US"/>
              </w:rPr>
            </w:pPr>
            <w:bookmarkStart w:id="53" w:name="空气声控制项结论"/>
            <w:r>
              <w:rPr>
                <w:rFonts w:hint="eastAsia"/>
                <w:b/>
                <w:bCs/>
                <w:lang w:val="en-US"/>
              </w:rPr>
              <w:t>本工程无此项评价</w:t>
            </w:r>
            <w:bookmarkEnd w:id="53"/>
          </w:p>
        </w:tc>
        <w:tc>
          <w:tcPr>
            <w:tcW w:w="737" w:type="dxa"/>
            <w:vAlign w:val="center"/>
          </w:tcPr>
          <w:p>
            <w:pPr>
              <w:jc w:val="center"/>
              <w:rPr>
                <w:b/>
                <w:bCs/>
                <w:lang w:val="en-US"/>
              </w:rPr>
            </w:pPr>
            <w:r>
              <w:rPr>
                <w:b/>
                <w:bCs/>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构件及相邻房间之间的空气声隔声性能达到现行国家标准《民用建筑隔声设计规范》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中的低限标准限值和高要求标准限值的平均值，得3分；达到高要求标准限值，得5分。</w:t>
            </w:r>
          </w:p>
        </w:tc>
        <w:tc>
          <w:tcPr>
            <w:tcW w:w="1381" w:type="dxa"/>
            <w:vAlign w:val="center"/>
          </w:tcPr>
          <w:p>
            <w:pPr>
              <w:jc w:val="center"/>
              <w:rPr>
                <w:b/>
                <w:bCs/>
                <w:lang w:val="en-US"/>
              </w:rPr>
            </w:pPr>
            <w:bookmarkStart w:id="54" w:name="空气声评分项结论"/>
            <w:r>
              <w:rPr>
                <w:rFonts w:hint="eastAsia"/>
                <w:b/>
                <w:bCs/>
                <w:lang w:val="en-US"/>
              </w:rPr>
              <w:t>本工程无此项评价</w:t>
            </w:r>
            <w:bookmarkEnd w:id="54"/>
          </w:p>
        </w:tc>
        <w:tc>
          <w:tcPr>
            <w:tcW w:w="737" w:type="dxa"/>
            <w:vAlign w:val="center"/>
          </w:tcPr>
          <w:p>
            <w:pPr>
              <w:jc w:val="center"/>
              <w:rPr>
                <w:b/>
                <w:bCs/>
                <w:lang w:val="en-US"/>
              </w:rPr>
            </w:pPr>
            <w:bookmarkStart w:id="55" w:name="空气声得分"/>
            <w:r>
              <w:rPr>
                <w:rFonts w:hint="eastAsia"/>
                <w:b/>
                <w:bCs/>
                <w:lang w:val="en-US"/>
              </w:rPr>
              <w:t>--</w:t>
            </w:r>
            <w:bookmarkEnd w:id="55"/>
            <w:r>
              <w:rPr>
                <w:rFonts w:hint="eastAsia"/>
                <w:b/>
                <w:bCs/>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rPr>
                <w:sz w:val="18"/>
                <w:szCs w:val="18"/>
              </w:rPr>
            </w:pPr>
            <w:r>
              <w:rPr>
                <w:rFonts w:hint="eastAsia"/>
                <w:sz w:val="18"/>
                <w:szCs w:val="18"/>
              </w:rPr>
              <w:t>撞击声隔声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b/>
                <w:bCs/>
                <w:lang w:val="en-US"/>
              </w:rPr>
            </w:pPr>
            <w:bookmarkStart w:id="56" w:name="撞击声控制项结论"/>
            <w:r>
              <w:rPr>
                <w:rFonts w:hint="eastAsia"/>
                <w:b/>
                <w:bCs/>
                <w:lang w:val="en-US"/>
              </w:rPr>
              <w:t>本工程无此项评价</w:t>
            </w:r>
            <w:bookmarkEnd w:id="56"/>
          </w:p>
        </w:tc>
        <w:tc>
          <w:tcPr>
            <w:tcW w:w="737" w:type="dxa"/>
            <w:vAlign w:val="center"/>
          </w:tcPr>
          <w:p>
            <w:pPr>
              <w:jc w:val="center"/>
              <w:rPr>
                <w:b/>
                <w:bCs/>
                <w:lang w:val="en-US"/>
              </w:rPr>
            </w:pPr>
            <w:r>
              <w:rPr>
                <w:rFonts w:hint="eastAsia"/>
                <w:b/>
                <w:bCs/>
                <w:lang w:val="en-US"/>
              </w:rPr>
              <w:t>-</w:t>
            </w:r>
            <w:r>
              <w:rPr>
                <w:b/>
                <w:bCs/>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楼板的撞击声隔声性能达到现行国家标准《民用建筑隔声设计规范》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w:t>
            </w:r>
            <w:r>
              <w:rPr>
                <w:sz w:val="18"/>
                <w:szCs w:val="18"/>
              </w:rPr>
              <w:t>5</w:t>
            </w:r>
            <w:r>
              <w:rPr>
                <w:rFonts w:hint="eastAsia"/>
                <w:sz w:val="18"/>
                <w:szCs w:val="18"/>
              </w:rPr>
              <w:t>分。</w:t>
            </w:r>
          </w:p>
        </w:tc>
        <w:tc>
          <w:tcPr>
            <w:tcW w:w="1381" w:type="dxa"/>
            <w:vAlign w:val="center"/>
          </w:tcPr>
          <w:p>
            <w:pPr>
              <w:jc w:val="center"/>
              <w:rPr>
                <w:b/>
                <w:bCs/>
                <w:lang w:val="en-US"/>
              </w:rPr>
            </w:pPr>
            <w:bookmarkStart w:id="57" w:name="撞击声评分项结论"/>
            <w:r>
              <w:rPr>
                <w:rFonts w:hint="eastAsia"/>
                <w:b/>
                <w:bCs/>
                <w:lang w:val="en-US"/>
              </w:rPr>
              <w:t>本工程无此项评价</w:t>
            </w:r>
            <w:bookmarkEnd w:id="57"/>
          </w:p>
        </w:tc>
        <w:tc>
          <w:tcPr>
            <w:tcW w:w="737" w:type="dxa"/>
            <w:vAlign w:val="center"/>
          </w:tcPr>
          <w:p>
            <w:pPr>
              <w:jc w:val="center"/>
              <w:rPr>
                <w:b/>
                <w:bCs/>
                <w:lang w:val="en-US"/>
              </w:rPr>
            </w:pPr>
            <w:bookmarkStart w:id="58" w:name="撞击声得分"/>
            <w:r>
              <w:rPr>
                <w:rFonts w:hint="eastAsia"/>
                <w:b/>
                <w:bCs/>
                <w:lang w:val="en-US"/>
              </w:rPr>
              <w:t>--</w:t>
            </w:r>
            <w:bookmarkEnd w:id="58"/>
            <w:r>
              <w:rPr>
                <w:rFonts w:hint="eastAsia"/>
                <w:b/>
                <w:bCs/>
                <w:lang w:val="en-US"/>
              </w:rPr>
              <w:t>分</w:t>
            </w:r>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9</w:t>
    </w:r>
    <w:r>
      <w:rPr>
        <w:sz w:val="15"/>
        <w:szCs w:val="15"/>
      </w:rPr>
      <w:fldChar w:fldCharType="end"/>
    </w:r>
    <w:r>
      <w:rPr>
        <w:sz w:val="15"/>
        <w:szCs w:val="15"/>
      </w:rPr>
      <w:ptab w:relativeTo="margin" w:alignment="right" w:leader="none"/>
    </w:r>
    <w:r>
      <w:rPr>
        <w:sz w:val="15"/>
        <w:szCs w:val="15"/>
      </w:rPr>
      <w:t>SEDU2022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zMGU1YzA2OGFmOTk4NDQ5MDJiYWZlYzI1MjVmYjQifQ=="/>
  </w:docVars>
  <w:rsids>
    <w:rsidRoot w:val="00A4093D"/>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65A75"/>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42BF"/>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093D"/>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C08B8"/>
    <w:rsid w:val="00FC178C"/>
    <w:rsid w:val="00FC4B65"/>
    <w:rsid w:val="00FC5550"/>
    <w:rsid w:val="00FD0603"/>
    <w:rsid w:val="00FD0EF4"/>
    <w:rsid w:val="00FD4C04"/>
    <w:rsid w:val="00FD636D"/>
    <w:rsid w:val="00FD77E0"/>
    <w:rsid w:val="00FE1638"/>
    <w:rsid w:val="00FE53F1"/>
    <w:rsid w:val="00FF2243"/>
    <w:rsid w:val="00FF272D"/>
    <w:rsid w:val="00FF6D7B"/>
    <w:rsid w:val="08743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autoRedefine/>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autoRedefine/>
    <w:qFormat/>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autoRedefine/>
    <w:qFormat/>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autoRedefine/>
    <w:qFormat/>
    <w:uiPriority w:val="99"/>
    <w:rPr>
      <w:sz w:val="24"/>
    </w:rPr>
  </w:style>
  <w:style w:type="paragraph" w:customStyle="1" w:styleId="38">
    <w:name w:val="条文"/>
    <w:basedOn w:val="1"/>
    <w:link w:val="37"/>
    <w:autoRedefine/>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image" Target="media/image19.png"/><Relationship Id="rId30" Type="http://schemas.openxmlformats.org/officeDocument/2006/relationships/oleObject" Target="embeddings/oleObject7.bin"/><Relationship Id="rId3" Type="http://schemas.openxmlformats.org/officeDocument/2006/relationships/header" Target="header1.xml"/><Relationship Id="rId29" Type="http://schemas.openxmlformats.org/officeDocument/2006/relationships/oleObject" Target="embeddings/oleObject6.bin"/><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wmf"/><Relationship Id="rId25" Type="http://schemas.openxmlformats.org/officeDocument/2006/relationships/oleObject" Target="embeddings/oleObject5.bin"/><Relationship Id="rId24" Type="http://schemas.openxmlformats.org/officeDocument/2006/relationships/image" Target="media/image15.wmf"/><Relationship Id="rId23" Type="http://schemas.openxmlformats.org/officeDocument/2006/relationships/oleObject" Target="embeddings/oleObject4.bin"/><Relationship Id="rId22" Type="http://schemas.openxmlformats.org/officeDocument/2006/relationships/image" Target="media/image14.wmf"/><Relationship Id="rId21" Type="http://schemas.openxmlformats.org/officeDocument/2006/relationships/oleObject" Target="embeddings/oleObject3.bin"/><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ZI~1\AppData\Local\Temp\tmp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618EF-FC92-48E3-AE1D-F75DCFC80657}">
  <ds:schemaRefs/>
</ds:datastoreItem>
</file>

<file path=docProps/app.xml><?xml version="1.0" encoding="utf-8"?>
<Properties xmlns="http://schemas.openxmlformats.org/officeDocument/2006/extended-properties" xmlns:vt="http://schemas.openxmlformats.org/officeDocument/2006/docPropsVTypes">
  <Template>tmp20</Template>
  <Company>ths</Company>
  <Pages>10</Pages>
  <Words>1001</Words>
  <Characters>5712</Characters>
  <Lines>47</Lines>
  <Paragraphs>13</Paragraphs>
  <TotalTime>0</TotalTime>
  <ScaleCrop>false</ScaleCrop>
  <LinksUpToDate>false</LinksUpToDate>
  <CharactersWithSpaces>6700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2023-12-31T09:39:00Z</dcterms:created>
  <dc:creator>wangzishuo</dc:creator>
  <cp:lastModifiedBy>王孜硕</cp:lastModifiedBy>
  <cp:lastPrinted>1900-12-31T16:00:00Z</cp:lastPrinted>
  <dcterms:modified xsi:type="dcterms:W3CDTF">2024-01-01T03:20:54Z</dcterms:modified>
  <dc:title>建筑构件隔声设计报告书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540AB0DA35E24AE3BC2FF565934203D4_12</vt:lpwstr>
  </property>
</Properties>
</file>