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7.2.3采用机械式停车设施、地下停车库或地面停车楼等方式。（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394"/>
        <w:gridCol w:w="155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8</w:t>
            </w:r>
          </w:p>
        </w:tc>
        <w:sdt>
          <w:sdtPr>
            <w:rPr>
              <w:rFonts w:hint="eastAsia"/>
              <w:szCs w:val="21"/>
            </w:rPr>
            <w:id w:val="-1476530628"/>
            <w:placeholder>
              <w:docPart w:val="D51D4B214CB54F3D99125E2E3157499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74101511"/>
            <w:placeholder>
              <w:docPart w:val="051986FF3C68436DA304110611EB45E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54360293"/>
            <w:placeholder>
              <w:docPart w:val="ED42C90AB695423DB69E2B7D868B375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kern w:val="0"/>
          <w:szCs w:val="21"/>
        </w:rPr>
        <w:t xml:space="preserve">其他方式 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</w:t>
      </w:r>
      <w:r>
        <w:rPr>
          <w:rFonts w:hint="eastAsia" w:ascii="Times New Roman" w:hAnsi="Times New Roman" w:cs="Times New Roman"/>
          <w:kern w:val="0"/>
          <w:szCs w:val="21"/>
          <w:u w:val="single"/>
          <w:lang w:val="en-US" w:eastAsia="zh-CN"/>
        </w:rPr>
        <w:t>地面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</w:t>
      </w:r>
    </w:p>
    <w:p>
      <w:pPr>
        <w:rPr>
          <w:rFonts w:ascii="Times New Roman" w:hAnsi="Times New Roman" w:cs="Times New Roman"/>
        </w:rPr>
      </w:pPr>
      <w:bookmarkStart w:id="0" w:name="_Toc9945045"/>
      <w:bookmarkStart w:id="1" w:name="_Toc9945331"/>
      <w:bookmarkStart w:id="2" w:name="_Toc9945472"/>
      <w:bookmarkStart w:id="3" w:name="_Toc9945189"/>
      <w:bookmarkStart w:id="4" w:name="_Toc9944765"/>
      <w:r>
        <w:rPr>
          <w:rFonts w:ascii="Times New Roman" w:hAnsi="Times New Roman" w:cs="Times New Roman"/>
        </w:rPr>
        <w:t>住宅：地面停车位数量：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，住宅总套数：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，停车位套数比：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公建：地面停车占地面积：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EndPr>
          <w:rPr>
            <w:rFonts w:hint="default" w:ascii="Times New Roman" w:hAnsi="Times New Roman" w:cs="Times New Roman"/>
            <w:u w:val="single"/>
            <w:lang w:val="en-US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1300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，总建设用地面积：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>31500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，停车位占地比：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>4</w:t>
      </w:r>
      <w:r>
        <w:rPr>
          <w:rFonts w:ascii="Times New Roman" w:hAnsi="Times New Roman" w:cs="Times New Roman"/>
        </w:rPr>
        <w:t xml:space="preserve"> %。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</w:t>
      </w:r>
      <w:r>
        <w:rPr>
          <w:rFonts w:hint="eastAsia" w:ascii="Times New Roman" w:hAnsi="Times New Roman" w:cs="Times New Roman" w:eastAsiaTheme="majorEastAsia"/>
        </w:rPr>
        <w:t>建筑</w:t>
      </w:r>
      <w:r>
        <w:rPr>
          <w:rFonts w:ascii="Times New Roman" w:hAnsi="Times New Roman" w:cs="Times New Roman" w:eastAsiaTheme="majorEastAsia"/>
        </w:rPr>
        <w:t>竣工总平面图及设计说明，应包括机动车停车场的位置、停车位数量等内容；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2）与停车相关的建筑、设备设施竣工图及设计说明；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3）地面停车率计算书。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建筑总平面图：2.原始图纸\渲染图\总平面图.jpg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建筑专业图纸及设计说明:2.原始图纸\穆棱水泥厂.dwg</w:t>
            </w:r>
            <w:bookmarkStart w:id="5" w:name="_GoBack"/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B64C94"/>
    <w:rsid w:val="00074A38"/>
    <w:rsid w:val="0054037E"/>
    <w:rsid w:val="00630022"/>
    <w:rsid w:val="00791F20"/>
    <w:rsid w:val="009A6665"/>
    <w:rsid w:val="009D1617"/>
    <w:rsid w:val="00B64C94"/>
    <w:rsid w:val="00B77571"/>
    <w:rsid w:val="7ECE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51D4B214CB54F3D99125E2E315749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C707D1-0217-4B0C-8C00-54D6436C7A9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EC5931-68E1-496B-8F49-F494A007E01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A5AB4C-9000-4374-B038-BCABC3B67A74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7EBE41-49EF-44EE-B868-1CF65123402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AC"/>
    <w:rsid w:val="002E1C8D"/>
    <w:rsid w:val="00914647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51D4B214CB54F3D99125E2E3157499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1986FF3C68436DA304110611EB4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D42C90AB695423DB69E2B7D868B37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0139A4BAD2F4E80AE02DB96CBDD43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7452324D0664F9C94CAF86F24FFC0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9BB27B5F1164E26882AA84F955488F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430</Characters>
  <Lines>3</Lines>
  <Paragraphs>1</Paragraphs>
  <TotalTime>0</TotalTime>
  <ScaleCrop>false</ScaleCrop>
  <LinksUpToDate>false</LinksUpToDate>
  <CharactersWithSpaces>504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王孜硕</cp:lastModifiedBy>
  <dcterms:modified xsi:type="dcterms:W3CDTF">2024-02-17T09:31:47Z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C1713BB5FB024F93B10B9DD3B3960A90_12</vt:lpwstr>
  </property>
</Properties>
</file>