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1</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86.2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76.0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150.0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86.2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14</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76.0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