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rPr>
                <w:rFonts w:hint="default" w:eastAsia="微软雅黑"/>
                <w:lang w:val="en-US" w:eastAsia="zh-CN"/>
              </w:rPr>
            </w:pPr>
            <w:bookmarkStart w:id="1" w:name="设计编号"/>
            <w:bookmarkEnd w:id="1"/>
            <w:r>
              <w:rPr>
                <w:rFonts w:hint="eastAsia"/>
                <w:lang w:val="en-US" w:eastAsia="zh-CN"/>
              </w:rPr>
              <w:t>BK2A60093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rPr>
                <w:rFonts w:hint="eastAsia" w:eastAsia="微软雅黑"/>
                <w:lang w:val="en-US" w:eastAsia="zh-CN"/>
              </w:rPr>
            </w:pPr>
            <w:bookmarkStart w:id="3" w:name="设计单位"/>
            <w:bookmarkEnd w:id="3"/>
            <w:r>
              <w:rPr>
                <w:rFonts w:hint="eastAsia"/>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rPr>
                <w:rFonts w:hint="eastAsia" w:eastAsia="微软雅黑"/>
                <w:lang w:val="en-US" w:eastAsia="zh-CN"/>
              </w:rPr>
            </w:pPr>
            <w:bookmarkStart w:id="4" w:name="审核人"/>
            <w:bookmarkEnd w:id="4"/>
            <w:r>
              <w:rPr>
                <w:rFonts w:hint="eastAsia"/>
                <w:lang w:val="en-US" w:eastAsia="zh-CN"/>
              </w:rPr>
              <w:t>陈思瀚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rPr>
                <w:rFonts w:hint="eastAsia" w:eastAsia="微软雅黑"/>
                <w:lang w:val="en-US" w:eastAsia="zh-CN"/>
              </w:rPr>
            </w:pPr>
            <w:bookmarkStart w:id="5" w:name="审定人"/>
            <w:bookmarkEnd w:id="5"/>
            <w:r>
              <w:rPr>
                <w:rFonts w:hint="eastAsia"/>
                <w:lang w:val="en-US" w:eastAsia="zh-CN"/>
              </w:rPr>
              <w:t>鲍佳然</w:t>
            </w:r>
            <w:bookmarkStart w:id="85" w:name="_GoBack"/>
            <w:bookmarkEnd w:id="8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2023年12月31日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T18267260651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"_Toc154915786"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_Toc154915786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"_Toc154915787"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_Toc154915787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"_Toc154915788"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_Toc154915788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"_Toc154915789"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_Toc154915789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"_Toc154915790"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_Toc154915790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"_Toc154915791"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_Toc154915791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"_Toc154915792"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_Toc154915792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"_Toc154915793"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_Toc154915793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"_Toc154915794"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_Toc154915794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"_Toc154915795"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_Toc154915795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"_Toc154915796"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_Toc154915796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"_Toc154915797"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_Toc154915797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"_Toc154915798" </w:instrText>
          </w:r>
          <w:r>
            <w:fldChar w:fldCharType="separate"/>
          </w:r>
          <w:r>
            <w:rPr>
              <w:rStyle w:val="22"/>
              <w:rFonts w:eastAsia="宋体"/>
              <w:lang w:val="en-GB"/>
            </w:rPr>
            <w:t>5.3.2</w:t>
          </w:r>
          <w:r>
            <w:rPr>
              <w:rFonts w:asciiTheme="minorHAnsi" w:hAnsiTheme="minorHAnsi" w:eastAsiaTheme="minorEastAsia" w:cstheme="minorBidi"/>
              <w:sz w:val="21"/>
              <w:szCs w:val="22"/>
              <w14:ligatures w14:val="standardContextual"/>
            </w:rPr>
            <w:tab/>
          </w:r>
          <w:r>
            <w:rPr>
              <w:rStyle w:val="22"/>
            </w:rPr>
            <w:t>玻璃幕墙</w:t>
          </w:r>
          <w:r>
            <w:tab/>
          </w:r>
          <w:r>
            <w:fldChar w:fldCharType="begin"/>
          </w:r>
          <w:r>
            <w:instrText xml:space="preserve"> PAGEREF _Toc154915798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"_Toc154915799" </w:instrText>
          </w:r>
          <w:r>
            <w:fldChar w:fldCharType="separate"/>
          </w:r>
          <w:r>
            <w:rPr>
              <w:rStyle w:val="22"/>
              <w:rFonts w:eastAsia="宋体"/>
              <w:lang w:val="en-GB"/>
            </w:rPr>
            <w:t>5.3.3</w:t>
          </w:r>
          <w:r>
            <w:rPr>
              <w:rFonts w:asciiTheme="minorHAnsi" w:hAnsiTheme="minorHAnsi" w:eastAsiaTheme="minorEastAsia" w:cstheme="minorBidi"/>
              <w:sz w:val="21"/>
              <w:szCs w:val="22"/>
              <w14:ligatures w14:val="standardContextual"/>
            </w:rPr>
            <w:tab/>
          </w:r>
          <w:r>
            <w:rPr>
              <w:rStyle w:val="22"/>
            </w:rPr>
            <w:t>天  窗</w:t>
          </w:r>
          <w:r>
            <w:tab/>
          </w:r>
          <w:r>
            <w:fldChar w:fldCharType="begin"/>
          </w:r>
          <w:r>
            <w:instrText xml:space="preserve"> PAGEREF _Toc154915799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"_Toc154915800"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_Toc154915800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"_Toc154915801"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_Toc154915801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"_Toc154915802"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_Toc154915802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491578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大庆</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2502.16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54915787"/>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4915788"/>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办公建筑、旅馆建筑、展览建筑、学校建筑、居住建筑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bookmarkStart w:id="28" w:name="条文描述_居住建筑"/>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bookmarkEnd w:id="28"/>
    </w:tbl>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9" w:name="_Toc264043625"/>
      <w:bookmarkStart w:id="30" w:name="_Toc275165382"/>
      <w:bookmarkStart w:id="31" w:name="_Toc290149054"/>
      <w:bookmarkStart w:id="32" w:name="_Toc290209312"/>
      <w:bookmarkStart w:id="33" w:name="_Toc290209336"/>
      <w:bookmarkStart w:id="34" w:name="_Toc312399791"/>
      <w:bookmarkStart w:id="35" w:name="_Toc154915789"/>
      <w:bookmarkStart w:id="36" w:name="_Toc26456923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154915790"/>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312399796"/>
      <w:bookmarkStart w:id="40" w:name="_Toc290209317"/>
      <w:bookmarkStart w:id="41" w:name="_Toc275165387"/>
      <w:bookmarkStart w:id="42" w:name="_Toc264569237"/>
      <w:bookmarkStart w:id="43" w:name="_Toc290149059"/>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154915791"/>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54915792"/>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54915793"/>
      <w:r>
        <w:rPr>
          <w:rFonts w:hint="eastAsia"/>
        </w:rPr>
        <w:t>采光计算</w:t>
      </w:r>
      <w:r>
        <w:t>参数</w:t>
      </w:r>
      <w:r>
        <w:rPr>
          <w:rFonts w:hint="eastAsia"/>
        </w:rPr>
        <w:t>取值</w:t>
      </w:r>
      <w:bookmarkEnd w:id="48"/>
    </w:p>
    <w:p>
      <w:pPr>
        <w:pStyle w:val="4"/>
      </w:pPr>
      <w:bookmarkStart w:id="49" w:name="_Toc290209316"/>
      <w:bookmarkStart w:id="50" w:name="_Toc275165386"/>
      <w:bookmarkStart w:id="51" w:name="_Toc264043629"/>
      <w:bookmarkStart w:id="52" w:name="_Toc290149058"/>
      <w:bookmarkStart w:id="53" w:name="_Toc290209340"/>
      <w:bookmarkStart w:id="54" w:name="_Toc264569236"/>
      <w:bookmarkStart w:id="55" w:name="_Toc312399795"/>
      <w:bookmarkStart w:id="56" w:name="_Toc154915794"/>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154915795"/>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154915796"/>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54915797"/>
      <w:bookmarkStart w:id="72" w:name="窗"/>
      <w:r>
        <w:rPr>
          <w:rFonts w:hint="eastAsia"/>
        </w:rPr>
        <w:t>普通窗</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C0615</w:t>
            </w:r>
          </w:p>
        </w:tc>
        <w:tc>
          <w:tcPr>
            <w:tcW w:w="1245" w:type="dxa"/>
            <w:vAlign w:val="center"/>
          </w:tcPr>
          <w:p>
            <w:r>
              <w:t>600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1501</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1827</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C19715</w:t>
            </w:r>
          </w:p>
        </w:tc>
        <w:tc>
          <w:tcPr>
            <w:tcW w:w="1245" w:type="dxa"/>
            <w:vAlign w:val="center"/>
          </w:tcPr>
          <w:p>
            <w:r>
              <w:t>19765</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C2030</w:t>
            </w:r>
          </w:p>
        </w:tc>
        <w:tc>
          <w:tcPr>
            <w:tcW w:w="1245" w:type="dxa"/>
            <w:vAlign w:val="center"/>
          </w:tcPr>
          <w:p>
            <w:r>
              <w:t>2055</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C2130</w:t>
            </w:r>
          </w:p>
        </w:tc>
        <w:tc>
          <w:tcPr>
            <w:tcW w:w="1245" w:type="dxa"/>
            <w:vAlign w:val="center"/>
          </w:tcPr>
          <w:p>
            <w:r>
              <w:t>2172</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C2215</w:t>
            </w:r>
          </w:p>
        </w:tc>
        <w:tc>
          <w:tcPr>
            <w:tcW w:w="1245" w:type="dxa"/>
            <w:vAlign w:val="center"/>
          </w:tcPr>
          <w:p>
            <w:r>
              <w:t>2241</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C2230</w:t>
            </w:r>
          </w:p>
        </w:tc>
        <w:tc>
          <w:tcPr>
            <w:tcW w:w="1245" w:type="dxa"/>
            <w:vAlign w:val="center"/>
          </w:tcPr>
          <w:p>
            <w:r>
              <w:t>2252</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C3715</w:t>
            </w:r>
          </w:p>
        </w:tc>
        <w:tc>
          <w:tcPr>
            <w:tcW w:w="1245" w:type="dxa"/>
            <w:vAlign w:val="center"/>
          </w:tcPr>
          <w:p>
            <w:r>
              <w:t>3710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C3815</w:t>
            </w:r>
          </w:p>
        </w:tc>
        <w:tc>
          <w:tcPr>
            <w:tcW w:w="1245" w:type="dxa"/>
            <w:vAlign w:val="center"/>
          </w:tcPr>
          <w:p>
            <w:r>
              <w:t>3815</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C4215</w:t>
            </w:r>
          </w:p>
        </w:tc>
        <w:tc>
          <w:tcPr>
            <w:tcW w:w="1245" w:type="dxa"/>
            <w:vAlign w:val="center"/>
          </w:tcPr>
          <w:p>
            <w:r>
              <w:t>4200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C4230</w:t>
            </w:r>
          </w:p>
        </w:tc>
        <w:tc>
          <w:tcPr>
            <w:tcW w:w="1245" w:type="dxa"/>
            <w:vAlign w:val="center"/>
          </w:tcPr>
          <w:p>
            <w:r>
              <w:t>4263</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C4315</w:t>
            </w:r>
          </w:p>
        </w:tc>
        <w:tc>
          <w:tcPr>
            <w:tcW w:w="1245" w:type="dxa"/>
            <w:vAlign w:val="center"/>
          </w:tcPr>
          <w:p>
            <w:r>
              <w:t>4366</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C4515</w:t>
            </w:r>
          </w:p>
        </w:tc>
        <w:tc>
          <w:tcPr>
            <w:tcW w:w="1245" w:type="dxa"/>
            <w:vAlign w:val="center"/>
          </w:tcPr>
          <w:p>
            <w:r>
              <w:t>4600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C4815</w:t>
            </w:r>
          </w:p>
        </w:tc>
        <w:tc>
          <w:tcPr>
            <w:tcW w:w="1245" w:type="dxa"/>
            <w:vAlign w:val="center"/>
          </w:tcPr>
          <w:p>
            <w:r>
              <w:t>4863</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C9515</w:t>
            </w:r>
          </w:p>
        </w:tc>
        <w:tc>
          <w:tcPr>
            <w:tcW w:w="1245" w:type="dxa"/>
            <w:vAlign w:val="center"/>
          </w:tcPr>
          <w:p>
            <w:r>
              <w:t>9507</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HC1515</w:t>
            </w:r>
          </w:p>
        </w:tc>
        <w:tc>
          <w:tcPr>
            <w:tcW w:w="1245" w:type="dxa"/>
            <w:vAlign w:val="center"/>
          </w:tcPr>
          <w:p>
            <w:r>
              <w:t>1500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154915798"/>
      <w:bookmarkStart w:id="74" w:name="幕墙"/>
      <w:r>
        <w:rPr>
          <w:rFonts w:hint="eastAsia"/>
        </w:rPr>
        <w:t>玻璃幕墙</w:t>
      </w:r>
      <w:bookmarkEnd w:id="73"/>
    </w:p>
    <w:bookmarkEnd w:id="74"/>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6300</w:t>
            </w:r>
          </w:p>
        </w:tc>
        <w:tc>
          <w:tcPr>
            <w:tcW w:w="1245" w:type="dxa"/>
            <w:vAlign w:val="center"/>
          </w:tcPr>
          <w:p>
            <w:r>
              <w:t>3600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5" w:name="_Toc154915799"/>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3000</w:t>
            </w:r>
          </w:p>
        </w:tc>
        <w:tc>
          <w:tcPr>
            <w:tcW w:w="1103" w:type="dxa"/>
            <w:vAlign w:val="center"/>
          </w:tcPr>
          <w:p>
            <w:r>
              <w:t>5770</w:t>
            </w:r>
          </w:p>
        </w:tc>
        <w:tc>
          <w:tcPr>
            <w:tcW w:w="962" w:type="dxa"/>
            <w:vAlign w:val="center"/>
          </w:tcPr>
          <w:p>
            <w:r>
              <w:t>17.310</w:t>
            </w:r>
          </w:p>
        </w:tc>
        <w:tc>
          <w:tcPr>
            <w:tcW w:w="1131" w:type="dxa"/>
            <w:vAlign w:val="center"/>
          </w:tcPr>
          <w:p>
            <w:r>
              <w:t>单层铝窗</w:t>
            </w:r>
          </w:p>
        </w:tc>
        <w:tc>
          <w:tcPr>
            <w:tcW w:w="1131" w:type="dxa"/>
            <w:vAlign w:val="center"/>
          </w:tcPr>
          <w:p>
            <w:r>
              <w:t>普通玻璃</w:t>
            </w:r>
          </w:p>
        </w:tc>
        <w:tc>
          <w:tcPr>
            <w:tcW w:w="1499" w:type="dxa"/>
            <w:vAlign w:val="center"/>
          </w:tcPr>
          <w:p>
            <w:r>
              <w:t>0.89</w:t>
            </w:r>
          </w:p>
        </w:tc>
        <w:tc>
          <w:tcPr>
            <w:tcW w:w="1301" w:type="dxa"/>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7" w:name="窗污染折减系数"/>
      <w:bookmarkEnd w:id="77"/>
    </w:p>
    <w:p>
      <w:pPr>
        <w:pStyle w:val="2"/>
        <w:ind w:left="432" w:hanging="432"/>
      </w:pPr>
      <w:bookmarkStart w:id="78" w:name="_Toc154915800"/>
      <w:r>
        <w:rPr>
          <w:rFonts w:hint="eastAsia"/>
        </w:rPr>
        <w:t>房间模拟</w:t>
      </w:r>
      <w:r>
        <w:t>结果</w:t>
      </w:r>
      <w:bookmarkEnd w:id="78"/>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9" w:name="房间采光表"/>
      <w:bookmarkEnd w:id="79"/>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1004</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48.90</w:t>
            </w:r>
          </w:p>
        </w:tc>
        <w:tc>
          <w:tcPr>
            <w:tcW w:w="1075" w:type="dxa"/>
            <w:vAlign w:val="center"/>
          </w:tcPr>
          <w:p>
            <w:r>
              <w:t>3.42</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健身房</w:t>
            </w:r>
          </w:p>
        </w:tc>
        <w:tc>
          <w:tcPr>
            <w:tcW w:w="1075" w:type="dxa"/>
            <w:vAlign w:val="center"/>
          </w:tcPr>
          <w:p>
            <w:r>
              <w:t>IV</w:t>
            </w:r>
          </w:p>
        </w:tc>
        <w:tc>
          <w:tcPr>
            <w:tcW w:w="1075" w:type="dxa"/>
            <w:vAlign w:val="center"/>
          </w:tcPr>
          <w:p>
            <w:r>
              <w:t>混合</w:t>
            </w:r>
          </w:p>
        </w:tc>
        <w:tc>
          <w:tcPr>
            <w:tcW w:w="1075" w:type="dxa"/>
            <w:vAlign w:val="center"/>
          </w:tcPr>
          <w:p>
            <w:r>
              <w:t>43.97</w:t>
            </w:r>
          </w:p>
        </w:tc>
        <w:tc>
          <w:tcPr>
            <w:tcW w:w="1075" w:type="dxa"/>
            <w:vAlign w:val="center"/>
          </w:tcPr>
          <w:p>
            <w:r>
              <w:t>3.21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健身房</w:t>
            </w:r>
          </w:p>
        </w:tc>
        <w:tc>
          <w:tcPr>
            <w:tcW w:w="1075" w:type="dxa"/>
            <w:vAlign w:val="center"/>
          </w:tcPr>
          <w:p>
            <w:r>
              <w:t>IV</w:t>
            </w:r>
          </w:p>
        </w:tc>
        <w:tc>
          <w:tcPr>
            <w:tcW w:w="1075" w:type="dxa"/>
            <w:vAlign w:val="center"/>
          </w:tcPr>
          <w:p>
            <w:r>
              <w:t>顶部</w:t>
            </w:r>
          </w:p>
        </w:tc>
        <w:tc>
          <w:tcPr>
            <w:tcW w:w="1075" w:type="dxa"/>
            <w:vAlign w:val="center"/>
          </w:tcPr>
          <w:p>
            <w:r>
              <w:t>40.33</w:t>
            </w:r>
          </w:p>
        </w:tc>
        <w:tc>
          <w:tcPr>
            <w:tcW w:w="1075" w:type="dxa"/>
            <w:vAlign w:val="center"/>
          </w:tcPr>
          <w:p>
            <w:r>
              <w:t>2.46</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1007</w:t>
            </w:r>
          </w:p>
        </w:tc>
        <w:tc>
          <w:tcPr>
            <w:tcW w:w="1075" w:type="dxa"/>
            <w:vAlign w:val="center"/>
          </w:tcPr>
          <w:p>
            <w:r>
              <w:t>健身房</w:t>
            </w:r>
          </w:p>
        </w:tc>
        <w:tc>
          <w:tcPr>
            <w:tcW w:w="1075" w:type="dxa"/>
            <w:vAlign w:val="center"/>
          </w:tcPr>
          <w:p>
            <w:r>
              <w:t>IV</w:t>
            </w:r>
          </w:p>
        </w:tc>
        <w:tc>
          <w:tcPr>
            <w:tcW w:w="1075" w:type="dxa"/>
            <w:vAlign w:val="center"/>
          </w:tcPr>
          <w:p>
            <w:r>
              <w:t>混合</w:t>
            </w:r>
          </w:p>
        </w:tc>
        <w:tc>
          <w:tcPr>
            <w:tcW w:w="1075" w:type="dxa"/>
            <w:vAlign w:val="center"/>
          </w:tcPr>
          <w:p>
            <w:r>
              <w:t>40.33</w:t>
            </w:r>
          </w:p>
        </w:tc>
        <w:tc>
          <w:tcPr>
            <w:tcW w:w="1075" w:type="dxa"/>
            <w:vAlign w:val="center"/>
          </w:tcPr>
          <w:p>
            <w:r>
              <w:t>2.94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1009</w:t>
            </w:r>
          </w:p>
        </w:tc>
        <w:tc>
          <w:tcPr>
            <w:tcW w:w="1075" w:type="dxa"/>
            <w:vAlign w:val="center"/>
          </w:tcPr>
          <w:p>
            <w:r>
              <w:t>健身房</w:t>
            </w:r>
          </w:p>
        </w:tc>
        <w:tc>
          <w:tcPr>
            <w:tcW w:w="1075" w:type="dxa"/>
            <w:vAlign w:val="center"/>
          </w:tcPr>
          <w:p>
            <w:r>
              <w:t>IV</w:t>
            </w:r>
          </w:p>
        </w:tc>
        <w:tc>
          <w:tcPr>
            <w:tcW w:w="1075" w:type="dxa"/>
            <w:vAlign w:val="center"/>
          </w:tcPr>
          <w:p>
            <w:r>
              <w:t>顶部</w:t>
            </w:r>
          </w:p>
        </w:tc>
        <w:tc>
          <w:tcPr>
            <w:tcW w:w="1075" w:type="dxa"/>
            <w:vAlign w:val="center"/>
          </w:tcPr>
          <w:p>
            <w:r>
              <w:t>33.06</w:t>
            </w:r>
          </w:p>
        </w:tc>
        <w:tc>
          <w:tcPr>
            <w:tcW w:w="1075" w:type="dxa"/>
            <w:vAlign w:val="center"/>
          </w:tcPr>
          <w:p>
            <w:r>
              <w:t>2.75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2002</w:t>
            </w:r>
          </w:p>
        </w:tc>
        <w:tc>
          <w:tcPr>
            <w:tcW w:w="1075" w:type="dxa"/>
            <w:vAlign w:val="center"/>
          </w:tcPr>
          <w:p>
            <w:r>
              <w:t>展厅（单层及顶层）</w:t>
            </w:r>
          </w:p>
        </w:tc>
        <w:tc>
          <w:tcPr>
            <w:tcW w:w="1075" w:type="dxa"/>
            <w:vAlign w:val="center"/>
          </w:tcPr>
          <w:p>
            <w:r>
              <w:t>III</w:t>
            </w:r>
          </w:p>
        </w:tc>
        <w:tc>
          <w:tcPr>
            <w:tcW w:w="1075" w:type="dxa"/>
            <w:vAlign w:val="center"/>
          </w:tcPr>
          <w:p>
            <w:r>
              <w:t>侧面</w:t>
            </w:r>
          </w:p>
        </w:tc>
        <w:tc>
          <w:tcPr>
            <w:tcW w:w="1075" w:type="dxa"/>
            <w:vAlign w:val="center"/>
          </w:tcPr>
          <w:p>
            <w:r>
              <w:t>100.51</w:t>
            </w:r>
          </w:p>
        </w:tc>
        <w:tc>
          <w:tcPr>
            <w:tcW w:w="1075" w:type="dxa"/>
            <w:vAlign w:val="center"/>
          </w:tcPr>
          <w:p>
            <w:r>
              <w:t>6.81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2005</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74.81</w:t>
            </w:r>
          </w:p>
        </w:tc>
        <w:tc>
          <w:tcPr>
            <w:tcW w:w="1075" w:type="dxa"/>
            <w:vAlign w:val="center"/>
          </w:tcPr>
          <w:p>
            <w:r>
              <w:t>4.82</w:t>
            </w:r>
          </w:p>
        </w:tc>
        <w:tc>
          <w:tcPr>
            <w:tcW w:w="1301" w:type="dxa"/>
            <w:vAlign w:val="center"/>
          </w:tcPr>
          <w:p>
            <w:r>
              <w:t>3.00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2006</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67.55</w:t>
            </w:r>
          </w:p>
        </w:tc>
        <w:tc>
          <w:tcPr>
            <w:tcW w:w="1075" w:type="dxa"/>
            <w:vAlign w:val="center"/>
          </w:tcPr>
          <w:p>
            <w:r>
              <w:t>2.98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38.75</w:t>
            </w:r>
          </w:p>
        </w:tc>
        <w:tc>
          <w:tcPr>
            <w:tcW w:w="1075" w:type="dxa"/>
            <w:vAlign w:val="center"/>
          </w:tcPr>
          <w:p>
            <w:r>
              <w:t>6.19</w:t>
            </w:r>
          </w:p>
        </w:tc>
        <w:tc>
          <w:tcPr>
            <w:tcW w:w="1301" w:type="dxa"/>
            <w:vAlign w:val="center"/>
          </w:tcPr>
          <w:p>
            <w:r>
              <w:t>3.00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Align w:val="center"/>
          </w:tcPr>
          <w:p>
            <w:r>
              <w:t>3</w:t>
            </w:r>
          </w:p>
        </w:tc>
        <w:tc>
          <w:tcPr>
            <w:tcW w:w="1075" w:type="dxa"/>
            <w:vAlign w:val="center"/>
          </w:tcPr>
          <w:p>
            <w:r>
              <w:t>3004</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67.55</w:t>
            </w:r>
          </w:p>
        </w:tc>
        <w:tc>
          <w:tcPr>
            <w:tcW w:w="1075" w:type="dxa"/>
            <w:vAlign w:val="center"/>
          </w:tcPr>
          <w:p>
            <w:r>
              <w:t>2.87</w:t>
            </w:r>
          </w:p>
        </w:tc>
        <w:tc>
          <w:tcPr>
            <w:tcW w:w="1301" w:type="dxa"/>
            <w:vAlign w:val="center"/>
          </w:tcPr>
          <w:p>
            <w:r>
              <w:t>2.00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80" w:name="_Toc154915801"/>
      <w:r>
        <w:rPr>
          <w:rFonts w:hint="eastAsia"/>
        </w:rPr>
        <w:t>采光</w:t>
      </w:r>
      <w:r>
        <w:t>效果分析</w:t>
      </w:r>
      <w:r>
        <w:rPr>
          <w:rFonts w:hint="eastAsia"/>
        </w:rPr>
        <w:t>彩图</w:t>
      </w:r>
      <w:bookmarkEnd w:id="8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1" w:name="彩图"/>
      <w:bookmarkEnd w:id="81"/>
      <w:r>
        <w:rPr>
          <w:rFonts w:hint="eastAsia"/>
        </w:rPr>
        <w:t xml:space="preserve"> </w:t>
      </w:r>
    </w:p>
    <w:p>
      <w:r>
        <w:drawing>
          <wp:inline distT="0" distB="0" distL="0" distR="0">
            <wp:extent cx="5667375" cy="21812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181225"/>
                    </a:xfrm>
                    <a:prstGeom prst="rect">
                      <a:avLst/>
                    </a:prstGeom>
                  </pic:spPr>
                </pic:pic>
              </a:graphicData>
            </a:graphic>
          </wp:inline>
        </w:drawing>
      </w:r>
    </w:p>
    <w:p>
      <w:r>
        <w:t>1层</w:t>
      </w:r>
    </w:p>
    <w:p>
      <w:r>
        <w:drawing>
          <wp:inline distT="0" distB="0" distL="0" distR="0">
            <wp:extent cx="5667375" cy="19812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1981200"/>
                    </a:xfrm>
                    <a:prstGeom prst="rect">
                      <a:avLst/>
                    </a:prstGeom>
                  </pic:spPr>
                </pic:pic>
              </a:graphicData>
            </a:graphic>
          </wp:inline>
        </w:drawing>
      </w:r>
    </w:p>
    <w:p>
      <w:r>
        <w:t>2层</w:t>
      </w:r>
    </w:p>
    <w:p>
      <w:r>
        <w:drawing>
          <wp:inline distT="0" distB="0" distL="0" distR="0">
            <wp:extent cx="5667375" cy="18288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1828800"/>
                    </a:xfrm>
                    <a:prstGeom prst="rect">
                      <a:avLst/>
                    </a:prstGeom>
                  </pic:spPr>
                </pic:pic>
              </a:graphicData>
            </a:graphic>
          </wp:inline>
        </w:drawing>
      </w:r>
    </w:p>
    <w:p>
      <w:r>
        <w:t>3层</w:t>
      </w:r>
    </w:p>
    <w:p/>
    <w:p>
      <w:pPr>
        <w:pStyle w:val="2"/>
        <w:ind w:left="432" w:hanging="432"/>
      </w:pPr>
      <w:bookmarkStart w:id="82" w:name="_Toc154915802"/>
      <w:r>
        <w:rPr>
          <w:rFonts w:hint="eastAsia"/>
        </w:rPr>
        <w:t>结论</w:t>
      </w:r>
      <w:bookmarkEnd w:id="82"/>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3" w:name="综述"/>
      <w:bookmarkEnd w:id="83"/>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10</w:t>
            </w:r>
          </w:p>
        </w:tc>
        <w:tc>
          <w:tcPr>
            <w:tcW w:w="1075" w:type="dxa"/>
            <w:vAlign w:val="center"/>
          </w:tcPr>
          <w:p>
            <w:r>
              <w:t>10</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555.77</w:t>
            </w:r>
          </w:p>
        </w:tc>
        <w:tc>
          <w:tcPr>
            <w:tcW w:w="1075" w:type="dxa"/>
            <w:vAlign w:val="center"/>
          </w:tcPr>
          <w:p>
            <w:r>
              <w:t>555.77</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4" w:name="总平面图"/>
      <w:bookmarkEnd w:id="84"/>
      <w:r>
        <w:drawing>
          <wp:inline distT="0" distB="0" distL="0" distR="0">
            <wp:extent cx="5667375" cy="42481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42481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ODY5OTU1NzdkODQ0M2ViMTM0MzRjZjE3NzFiZTIifQ=="/>
  </w:docVars>
  <w:rsids>
    <w:rsidRoot w:val="00CD67D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32B3"/>
    <w:rsid w:val="004D449D"/>
    <w:rsid w:val="004D5979"/>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D67D3"/>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7D3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11</Pages>
  <Words>1048</Words>
  <Characters>5978</Characters>
  <Lines>49</Lines>
  <Paragraphs>14</Paragraphs>
  <TotalTime>0</TotalTime>
  <ScaleCrop>false</ScaleCrop>
  <LinksUpToDate>false</LinksUpToDate>
  <CharactersWithSpaces>7012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2023-12-31T03:49:00Z</dcterms:created>
  <dc:creator>yanjin</dc:creator>
  <cp:lastModifiedBy>迪达拉的自爆粘土</cp:lastModifiedBy>
  <cp:lastPrinted>2411-12-31T16:00:00Z</cp:lastPrinted>
  <dcterms:modified xsi:type="dcterms:W3CDTF">2024-01-05T07:41:31Z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478FA96064A647A2A15963A068988C6C_12</vt:lpwstr>
  </property>
</Properties>
</file>