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hint="default" w:ascii="宋体" w:hAnsi="宋体" w:eastAsia="宋体"/>
                <w:szCs w:val="21"/>
                <w:lang w:val="en-US" w:eastAsia="zh-CN"/>
              </w:rPr>
            </w:pPr>
            <w:r>
              <w:rPr>
                <w:rFonts w:hint="eastAsia" w:ascii="宋体" w:hAnsi="宋体"/>
                <w:szCs w:val="21"/>
                <w:lang w:val="en-US" w:eastAsia="zh-CN"/>
              </w:rPr>
              <w:t>守望--车站改造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1" w:name="项目地点"/>
            <w:r>
              <w:t>大庆</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hint="default" w:ascii="宋体" w:hAnsi="宋体" w:eastAsia="宋体"/>
                <w:szCs w:val="21"/>
                <w:lang w:val="en-US" w:eastAsia="zh-CN"/>
              </w:rPr>
            </w:pPr>
            <w:bookmarkStart w:id="2" w:name="设计编号"/>
            <w:bookmarkEnd w:id="2"/>
            <w:r>
              <w:rPr>
                <w:rFonts w:hint="eastAsia" w:ascii="宋体" w:hAnsi="宋体"/>
                <w:szCs w:val="21"/>
                <w:lang w:val="en-US" w:eastAsia="zh-CN"/>
              </w:rPr>
              <w:t>BK2A60093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3" w:name="建设单位"/>
            <w:r>
              <w:rPr>
                <w:rFonts w:hint="eastAsia" w:ascii="宋体" w:hAnsi="宋体"/>
                <w:szCs w:val="21"/>
              </w:rPr>
              <w:t>xxxx有限公司</w:t>
            </w:r>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hint="eastAsia" w:ascii="宋体" w:hAnsi="宋体" w:eastAsia="宋体"/>
                <w:szCs w:val="21"/>
                <w:lang w:eastAsia="zh-CN"/>
              </w:rPr>
            </w:pPr>
            <w:r>
              <w:rPr>
                <w:rFonts w:hint="eastAsia" w:ascii="宋体" w:hAnsi="宋体"/>
                <w:szCs w:val="21"/>
                <w:lang w:val="en-US" w:eastAsia="zh-CN"/>
              </w:rPr>
              <w:t>东北石油大学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hint="eastAsia" w:ascii="宋体" w:hAnsi="宋体" w:eastAsia="宋体"/>
                <w:szCs w:val="21"/>
                <w:lang w:val="en-US" w:eastAsia="zh-CN"/>
              </w:rPr>
            </w:pPr>
            <w:r>
              <w:rPr>
                <w:rFonts w:hint="eastAsia" w:ascii="宋体" w:hAnsi="宋体"/>
                <w:szCs w:val="21"/>
                <w:lang w:val="en-US" w:eastAsia="zh-CN"/>
              </w:rPr>
              <w:t>陈思瀚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hint="eastAsia" w:ascii="宋体" w:hAnsi="宋体" w:eastAsia="宋体"/>
                <w:szCs w:val="21"/>
                <w:lang w:val="en-US" w:eastAsia="zh-CN"/>
              </w:rPr>
            </w:pPr>
            <w:r>
              <w:rPr>
                <w:rFonts w:hint="eastAsia" w:ascii="宋体" w:hAnsi="宋体"/>
                <w:szCs w:val="21"/>
                <w:lang w:val="en-US" w:eastAsia="zh-CN"/>
              </w:rPr>
              <w:t>玄律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hint="eastAsia" w:ascii="宋体" w:hAnsi="宋体" w:eastAsia="宋体"/>
                <w:szCs w:val="21"/>
                <w:lang w:val="en-US" w:eastAsia="zh-CN"/>
              </w:rPr>
            </w:pPr>
            <w:r>
              <w:rPr>
                <w:rFonts w:hint="eastAsia" w:ascii="宋体" w:hAnsi="宋体"/>
                <w:szCs w:val="21"/>
                <w:lang w:val="en-US" w:eastAsia="zh-CN"/>
              </w:rPr>
              <w:t>鲍佳然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hint="eastAsia" w:ascii="宋体" w:hAnsi="宋体" w:eastAsia="宋体"/>
                <w:szCs w:val="21"/>
                <w:lang w:val="en-US" w:eastAsia="zh-CN"/>
              </w:rPr>
            </w:pPr>
            <w:r>
              <w:rPr>
                <w:rFonts w:hint="eastAsia" w:ascii="宋体" w:hAnsi="宋体"/>
                <w:szCs w:val="21"/>
                <w:lang w:val="en-US" w:eastAsia="zh-CN"/>
              </w:rPr>
              <w:t>严谨</w:t>
            </w:r>
            <w:bookmarkStart w:id="188" w:name="_GoBack"/>
            <w:bookmarkEnd w:id="18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4" w:name="报告日期"/>
            <w:r>
              <w:rPr>
                <w:rFonts w:hint="eastAsia" w:ascii="宋体" w:hAnsi="宋体"/>
                <w:szCs w:val="21"/>
              </w:rPr>
              <w:t>2023年11月</w:t>
            </w:r>
            <w:r>
              <w:rPr>
                <w:rFonts w:hint="eastAsia" w:ascii="宋体" w:hAnsi="宋体"/>
                <w:szCs w:val="21"/>
                <w:lang w:val="en-US" w:eastAsia="zh-CN"/>
              </w:rPr>
              <w:t>18</w:t>
            </w:r>
            <w:r>
              <w:rPr>
                <w:rFonts w:hint="eastAsia" w:ascii="宋体" w:hAnsi="宋体"/>
                <w:szCs w:val="21"/>
              </w:rPr>
              <w:t>日</w:t>
            </w:r>
            <w:bookmarkEnd w:id="4"/>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5" w:name="二维码"/>
      <w:bookmarkEnd w:id="5"/>
      <w:r>
        <w:drawing>
          <wp:inline distT="0" distB="0" distL="0" distR="0">
            <wp:extent cx="1628775" cy="1628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"_Toc151474909" </w:instrText>
      </w:r>
      <w:r>
        <w:fldChar w:fldCharType="separate"/>
      </w:r>
      <w:r>
        <w:rPr>
          <w:rStyle w:val="26"/>
        </w:rPr>
        <w:t>1</w:t>
      </w:r>
      <w:r>
        <w:rPr>
          <w:rFonts w:asciiTheme="minorHAnsi" w:hAnsiTheme="minorHAnsi" w:eastAsiaTheme="minorEastAsia" w:cstheme="minorBidi"/>
          <w:b w:val="0"/>
          <w:bCs w:val="0"/>
          <w:szCs w:val="22"/>
          <w14:ligatures w14:val="standardContextual"/>
        </w:rPr>
        <w:tab/>
      </w:r>
      <w:r>
        <w:rPr>
          <w:rStyle w:val="26"/>
        </w:rPr>
        <w:t>项目概况</w:t>
      </w:r>
      <w:r>
        <w:tab/>
      </w:r>
      <w:r>
        <w:fldChar w:fldCharType="begin"/>
      </w:r>
      <w:r>
        <w:instrText xml:space="preserve"> PAGEREF _Toc151474909 \h </w:instrText>
      </w:r>
      <w:r>
        <w:fldChar w:fldCharType="separate"/>
      </w:r>
      <w:r>
        <w:t>3</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"_Toc151474910" </w:instrText>
      </w:r>
      <w:r>
        <w:fldChar w:fldCharType="separate"/>
      </w:r>
      <w:r>
        <w:rPr>
          <w:rStyle w:val="26"/>
          <w:lang w:val="en-GB"/>
        </w:rPr>
        <w:t>1.1</w:t>
      </w:r>
      <w:r>
        <w:rPr>
          <w:rFonts w:asciiTheme="minorHAnsi" w:hAnsiTheme="minorHAnsi" w:eastAsiaTheme="minorEastAsia" w:cstheme="minorBidi"/>
          <w:szCs w:val="22"/>
          <w14:ligatures w14:val="standardContextual"/>
        </w:rPr>
        <w:tab/>
      </w:r>
      <w:r>
        <w:rPr>
          <w:rStyle w:val="26"/>
        </w:rPr>
        <w:t>总平面图</w:t>
      </w:r>
      <w:r>
        <w:tab/>
      </w:r>
      <w:r>
        <w:fldChar w:fldCharType="begin"/>
      </w:r>
      <w:r>
        <w:instrText xml:space="preserve"> PAGEREF _Toc151474910 \h </w:instrText>
      </w:r>
      <w:r>
        <w:fldChar w:fldCharType="separate"/>
      </w:r>
      <w:r>
        <w:t>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"_Toc151474911" </w:instrText>
      </w:r>
      <w:r>
        <w:fldChar w:fldCharType="separate"/>
      </w:r>
      <w:r>
        <w:rPr>
          <w:rStyle w:val="26"/>
          <w:lang w:val="en-GB"/>
        </w:rPr>
        <w:t>1.2</w:t>
      </w:r>
      <w:r>
        <w:rPr>
          <w:rFonts w:asciiTheme="minorHAnsi" w:hAnsiTheme="minorHAnsi" w:eastAsiaTheme="minorEastAsia" w:cstheme="minorBidi"/>
          <w:szCs w:val="22"/>
          <w14:ligatures w14:val="standardContextual"/>
        </w:rPr>
        <w:tab/>
      </w:r>
      <w:r>
        <w:rPr>
          <w:rStyle w:val="26"/>
        </w:rPr>
        <w:t>三维视图</w:t>
      </w:r>
      <w:r>
        <w:tab/>
      </w:r>
      <w:r>
        <w:fldChar w:fldCharType="begin"/>
      </w:r>
      <w:r>
        <w:instrText xml:space="preserve"> PAGEREF _Toc151474911 \h </w:instrText>
      </w:r>
      <w:r>
        <w:fldChar w:fldCharType="separate"/>
      </w:r>
      <w:r>
        <w:t>5</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"_Toc151474912" </w:instrText>
      </w:r>
      <w:r>
        <w:fldChar w:fldCharType="separate"/>
      </w:r>
      <w:r>
        <w:rPr>
          <w:rStyle w:val="26"/>
        </w:rPr>
        <w:t>2</w:t>
      </w:r>
      <w:r>
        <w:rPr>
          <w:rFonts w:asciiTheme="minorHAnsi" w:hAnsiTheme="minorHAnsi" w:eastAsiaTheme="minorEastAsia" w:cstheme="minorBidi"/>
          <w:b w:val="0"/>
          <w:bCs w:val="0"/>
          <w:szCs w:val="22"/>
          <w14:ligatures w14:val="standardContextual"/>
        </w:rPr>
        <w:tab/>
      </w:r>
      <w:r>
        <w:rPr>
          <w:rStyle w:val="26"/>
        </w:rPr>
        <w:t>计算依据</w:t>
      </w:r>
      <w:r>
        <w:tab/>
      </w:r>
      <w:r>
        <w:fldChar w:fldCharType="begin"/>
      </w:r>
      <w:r>
        <w:instrText xml:space="preserve"> PAGEREF _Toc151474912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"_Toc151474913" </w:instrText>
      </w:r>
      <w:r>
        <w:fldChar w:fldCharType="separate"/>
      </w:r>
      <w:r>
        <w:rPr>
          <w:rStyle w:val="26"/>
        </w:rPr>
        <w:t>3</w:t>
      </w:r>
      <w:r>
        <w:rPr>
          <w:rFonts w:asciiTheme="minorHAnsi" w:hAnsiTheme="minorHAnsi" w:eastAsiaTheme="minorEastAsia" w:cstheme="minorBidi"/>
          <w:b w:val="0"/>
          <w:bCs w:val="0"/>
          <w:szCs w:val="22"/>
          <w14:ligatures w14:val="standardContextual"/>
        </w:rPr>
        <w:tab/>
      </w:r>
      <w:r>
        <w:rPr>
          <w:rStyle w:val="26"/>
        </w:rPr>
        <w:t>参考标准</w:t>
      </w:r>
      <w:r>
        <w:tab/>
      </w:r>
      <w:r>
        <w:fldChar w:fldCharType="begin"/>
      </w:r>
      <w:r>
        <w:instrText xml:space="preserve"> PAGEREF _Toc151474913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"_Toc151474914" </w:instrText>
      </w:r>
      <w:r>
        <w:fldChar w:fldCharType="separate"/>
      </w:r>
      <w:r>
        <w:rPr>
          <w:rStyle w:val="26"/>
        </w:rPr>
        <w:t>4</w:t>
      </w:r>
      <w:r>
        <w:rPr>
          <w:rFonts w:asciiTheme="minorHAnsi" w:hAnsiTheme="minorHAnsi" w:eastAsiaTheme="minorEastAsia" w:cstheme="minorBidi"/>
          <w:b w:val="0"/>
          <w:bCs w:val="0"/>
          <w:szCs w:val="22"/>
          <w14:ligatures w14:val="standardContextual"/>
        </w:rPr>
        <w:tab/>
      </w:r>
      <w:r>
        <w:rPr>
          <w:rStyle w:val="26"/>
        </w:rPr>
        <w:t>计算原理</w:t>
      </w:r>
      <w:r>
        <w:tab/>
      </w:r>
      <w:r>
        <w:fldChar w:fldCharType="begin"/>
      </w:r>
      <w:r>
        <w:instrText xml:space="preserve"> PAGEREF _Toc151474914 \h </w:instrText>
      </w:r>
      <w:r>
        <w:fldChar w:fldCharType="separate"/>
      </w:r>
      <w:r>
        <w:t>6</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"_Toc151474915" </w:instrText>
      </w:r>
      <w:r>
        <w:fldChar w:fldCharType="separate"/>
      </w:r>
      <w:r>
        <w:rPr>
          <w:rStyle w:val="26"/>
          <w:lang w:val="en-GB"/>
        </w:rPr>
        <w:t>4.1</w:t>
      </w:r>
      <w:r>
        <w:rPr>
          <w:rFonts w:asciiTheme="minorHAnsi" w:hAnsiTheme="minorHAnsi" w:eastAsiaTheme="minorEastAsia" w:cstheme="minorBidi"/>
          <w:szCs w:val="22"/>
          <w14:ligatures w14:val="standardContextual"/>
        </w:rPr>
        <w:tab/>
      </w:r>
      <w:r>
        <w:rPr>
          <w:rStyle w:val="26"/>
        </w:rPr>
        <w:t>风场计算域</w:t>
      </w:r>
      <w:r>
        <w:tab/>
      </w:r>
      <w:r>
        <w:fldChar w:fldCharType="begin"/>
      </w:r>
      <w:r>
        <w:instrText xml:space="preserve"> PAGEREF _Toc151474915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"_Toc151474916" </w:instrText>
      </w:r>
      <w:r>
        <w:fldChar w:fldCharType="separate"/>
      </w:r>
      <w:r>
        <w:rPr>
          <w:rStyle w:val="26"/>
          <w:lang w:val="en-GB"/>
        </w:rPr>
        <w:t>4.1.1</w:t>
      </w:r>
      <w:r>
        <w:rPr>
          <w:rFonts w:asciiTheme="minorHAnsi" w:hAnsiTheme="minorHAnsi" w:eastAsiaTheme="minorEastAsia" w:cstheme="minorBidi"/>
          <w:szCs w:val="22"/>
          <w14:ligatures w14:val="standardContextual"/>
        </w:rPr>
        <w:tab/>
      </w:r>
      <w:r>
        <w:rPr>
          <w:rStyle w:val="26"/>
        </w:rPr>
        <w:t>冬季工况风场计算域</w:t>
      </w:r>
      <w:r>
        <w:tab/>
      </w:r>
      <w:r>
        <w:fldChar w:fldCharType="begin"/>
      </w:r>
      <w:r>
        <w:instrText xml:space="preserve"> PAGEREF _Toc151474916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"_Toc151474917" </w:instrText>
      </w:r>
      <w:r>
        <w:fldChar w:fldCharType="separate"/>
      </w:r>
      <w:r>
        <w:rPr>
          <w:rStyle w:val="26"/>
          <w:lang w:val="en-GB"/>
        </w:rPr>
        <w:t>4.1.2</w:t>
      </w:r>
      <w:r>
        <w:rPr>
          <w:rFonts w:asciiTheme="minorHAnsi" w:hAnsiTheme="minorHAnsi" w:eastAsiaTheme="minorEastAsia" w:cstheme="minorBidi"/>
          <w:szCs w:val="22"/>
          <w14:ligatures w14:val="standardContextual"/>
        </w:rPr>
        <w:tab/>
      </w:r>
      <w:r>
        <w:rPr>
          <w:rStyle w:val="26"/>
        </w:rPr>
        <w:t>夏季工况风场计算域</w:t>
      </w:r>
      <w:r>
        <w:tab/>
      </w:r>
      <w:r>
        <w:fldChar w:fldCharType="begin"/>
      </w:r>
      <w:r>
        <w:instrText xml:space="preserve"> PAGEREF _Toc151474917 \h </w:instrText>
      </w:r>
      <w:r>
        <w:fldChar w:fldCharType="separate"/>
      </w:r>
      <w:r>
        <w:t>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"_Toc151474918" </w:instrText>
      </w:r>
      <w:r>
        <w:fldChar w:fldCharType="separate"/>
      </w:r>
      <w:r>
        <w:rPr>
          <w:rStyle w:val="26"/>
          <w:lang w:val="en-GB"/>
        </w:rPr>
        <w:t>4.2</w:t>
      </w:r>
      <w:r>
        <w:rPr>
          <w:rFonts w:asciiTheme="minorHAnsi" w:hAnsiTheme="minorHAnsi" w:eastAsiaTheme="minorEastAsia" w:cstheme="minorBidi"/>
          <w:szCs w:val="22"/>
          <w14:ligatures w14:val="standardContextual"/>
        </w:rPr>
        <w:tab/>
      </w:r>
      <w:r>
        <w:rPr>
          <w:rStyle w:val="26"/>
        </w:rPr>
        <w:t>网格划分</w:t>
      </w:r>
      <w:r>
        <w:tab/>
      </w:r>
      <w:r>
        <w:fldChar w:fldCharType="begin"/>
      </w:r>
      <w:r>
        <w:instrText xml:space="preserve"> PAGEREF _Toc151474918 \h </w:instrText>
      </w:r>
      <w:r>
        <w:fldChar w:fldCharType="separate"/>
      </w:r>
      <w:r>
        <w:t>8</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"_Toc151474919" </w:instrText>
      </w:r>
      <w:r>
        <w:fldChar w:fldCharType="separate"/>
      </w:r>
      <w:r>
        <w:rPr>
          <w:rStyle w:val="26"/>
          <w:lang w:val="en-GB"/>
        </w:rPr>
        <w:t>4.3</w:t>
      </w:r>
      <w:r>
        <w:rPr>
          <w:rFonts w:asciiTheme="minorHAnsi" w:hAnsiTheme="minorHAnsi" w:eastAsiaTheme="minorEastAsia" w:cstheme="minorBidi"/>
          <w:szCs w:val="22"/>
          <w14:ligatures w14:val="standardContextual"/>
        </w:rPr>
        <w:tab/>
      </w:r>
      <w:r>
        <w:rPr>
          <w:rStyle w:val="26"/>
        </w:rPr>
        <w:t>边界条件</w:t>
      </w:r>
      <w:r>
        <w:tab/>
      </w:r>
      <w:r>
        <w:fldChar w:fldCharType="begin"/>
      </w:r>
      <w:r>
        <w:instrText xml:space="preserve"> PAGEREF _Toc151474919 \h </w:instrText>
      </w:r>
      <w:r>
        <w:fldChar w:fldCharType="separate"/>
      </w:r>
      <w:r>
        <w:t>10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"_Toc151474920" </w:instrText>
      </w:r>
      <w:r>
        <w:fldChar w:fldCharType="separate"/>
      </w:r>
      <w:r>
        <w:rPr>
          <w:rStyle w:val="26"/>
          <w:lang w:val="en-GB"/>
        </w:rPr>
        <w:t>4.3.1</w:t>
      </w:r>
      <w:r>
        <w:rPr>
          <w:rFonts w:asciiTheme="minorHAnsi" w:hAnsiTheme="minorHAnsi" w:eastAsiaTheme="minorEastAsia" w:cstheme="minorBidi"/>
          <w:szCs w:val="22"/>
          <w14:ligatures w14:val="standardContextual"/>
        </w:rPr>
        <w:tab/>
      </w:r>
      <w:r>
        <w:rPr>
          <w:rStyle w:val="26"/>
        </w:rPr>
        <w:t>入口与出口边界条件</w:t>
      </w:r>
      <w:r>
        <w:tab/>
      </w:r>
      <w:r>
        <w:fldChar w:fldCharType="begin"/>
      </w:r>
      <w:r>
        <w:instrText xml:space="preserve"> PAGEREF _Toc151474920 \h </w:instrText>
      </w:r>
      <w:r>
        <w:fldChar w:fldCharType="separate"/>
      </w:r>
      <w:r>
        <w:t>11</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"_Toc151474921" </w:instrText>
      </w:r>
      <w:r>
        <w:fldChar w:fldCharType="separate"/>
      </w:r>
      <w:r>
        <w:rPr>
          <w:rStyle w:val="26"/>
          <w:lang w:val="en-GB"/>
        </w:rPr>
        <w:t>4.3.2</w:t>
      </w:r>
      <w:r>
        <w:rPr>
          <w:rFonts w:asciiTheme="minorHAnsi" w:hAnsiTheme="minorHAnsi" w:eastAsiaTheme="minorEastAsia" w:cstheme="minorBidi"/>
          <w:szCs w:val="22"/>
          <w14:ligatures w14:val="standardContextual"/>
        </w:rPr>
        <w:tab/>
      </w:r>
      <w:r>
        <w:rPr>
          <w:rStyle w:val="26"/>
        </w:rPr>
        <w:t>壁面边界条件</w:t>
      </w:r>
      <w:r>
        <w:tab/>
      </w:r>
      <w:r>
        <w:fldChar w:fldCharType="begin"/>
      </w:r>
      <w:r>
        <w:instrText xml:space="preserve"> PAGEREF _Toc151474921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"_Toc151474922" </w:instrText>
      </w:r>
      <w:r>
        <w:fldChar w:fldCharType="separate"/>
      </w:r>
      <w:r>
        <w:rPr>
          <w:rStyle w:val="26"/>
          <w:lang w:val="en-GB"/>
        </w:rPr>
        <w:t>4.4</w:t>
      </w:r>
      <w:r>
        <w:rPr>
          <w:rFonts w:asciiTheme="minorHAnsi" w:hAnsiTheme="minorHAnsi" w:eastAsiaTheme="minorEastAsia" w:cstheme="minorBidi"/>
          <w:szCs w:val="22"/>
          <w14:ligatures w14:val="standardContextual"/>
        </w:rPr>
        <w:tab/>
      </w:r>
      <w:r>
        <w:rPr>
          <w:rStyle w:val="26"/>
        </w:rPr>
        <w:t>湍流模型</w:t>
      </w:r>
      <w:r>
        <w:tab/>
      </w:r>
      <w:r>
        <w:fldChar w:fldCharType="begin"/>
      </w:r>
      <w:r>
        <w:instrText xml:space="preserve"> PAGEREF _Toc151474922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"_Toc151474923" </w:instrText>
      </w:r>
      <w:r>
        <w:fldChar w:fldCharType="separate"/>
      </w:r>
      <w:r>
        <w:rPr>
          <w:rStyle w:val="26"/>
          <w:lang w:val="en-GB"/>
        </w:rPr>
        <w:t>4.5</w:t>
      </w:r>
      <w:r>
        <w:rPr>
          <w:rFonts w:asciiTheme="minorHAnsi" w:hAnsiTheme="minorHAnsi" w:eastAsiaTheme="minorEastAsia" w:cstheme="minorBidi"/>
          <w:szCs w:val="22"/>
          <w14:ligatures w14:val="standardContextual"/>
        </w:rPr>
        <w:tab/>
      </w:r>
      <w:r>
        <w:rPr>
          <w:rStyle w:val="26"/>
        </w:rPr>
        <w:t>求解计算</w:t>
      </w:r>
      <w:r>
        <w:tab/>
      </w:r>
      <w:r>
        <w:fldChar w:fldCharType="begin"/>
      </w:r>
      <w:r>
        <w:instrText xml:space="preserve"> PAGEREF _Toc151474923 \h </w:instrText>
      </w:r>
      <w:r>
        <w:fldChar w:fldCharType="separate"/>
      </w:r>
      <w:r>
        <w:t>12</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"_Toc151474924" </w:instrText>
      </w:r>
      <w:r>
        <w:fldChar w:fldCharType="separate"/>
      </w:r>
      <w:r>
        <w:rPr>
          <w:rStyle w:val="26"/>
          <w:lang w:val="en-GB"/>
        </w:rPr>
        <w:t>4.6</w:t>
      </w:r>
      <w:r>
        <w:rPr>
          <w:rFonts w:asciiTheme="minorHAnsi" w:hAnsiTheme="minorHAnsi" w:eastAsiaTheme="minorEastAsia" w:cstheme="minorBidi"/>
          <w:szCs w:val="22"/>
          <w14:ligatures w14:val="standardContextual"/>
        </w:rPr>
        <w:tab/>
      </w:r>
      <w:r>
        <w:rPr>
          <w:rStyle w:val="26"/>
        </w:rPr>
        <w:t>风速放大系数计算</w:t>
      </w:r>
      <w:r>
        <w:tab/>
      </w:r>
      <w:r>
        <w:fldChar w:fldCharType="begin"/>
      </w:r>
      <w:r>
        <w:instrText xml:space="preserve"> PAGEREF _Toc151474924 \h </w:instrText>
      </w:r>
      <w:r>
        <w:fldChar w:fldCharType="separate"/>
      </w:r>
      <w:r>
        <w:t>13</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"_Toc151474925" </w:instrText>
      </w:r>
      <w:r>
        <w:fldChar w:fldCharType="separate"/>
      </w:r>
      <w:r>
        <w:rPr>
          <w:rStyle w:val="26"/>
        </w:rPr>
        <w:t>5</w:t>
      </w:r>
      <w:r>
        <w:rPr>
          <w:rFonts w:asciiTheme="minorHAnsi" w:hAnsiTheme="minorHAnsi" w:eastAsiaTheme="minorEastAsia" w:cstheme="minorBidi"/>
          <w:b w:val="0"/>
          <w:bCs w:val="0"/>
          <w:szCs w:val="22"/>
          <w14:ligatures w14:val="standardContextual"/>
        </w:rPr>
        <w:tab/>
      </w:r>
      <w:r>
        <w:rPr>
          <w:rStyle w:val="26"/>
        </w:rPr>
        <w:t>结果分析</w:t>
      </w:r>
      <w:r>
        <w:tab/>
      </w:r>
      <w:r>
        <w:fldChar w:fldCharType="begin"/>
      </w:r>
      <w:r>
        <w:instrText xml:space="preserve"> PAGEREF _Toc151474925 \h </w:instrText>
      </w:r>
      <w:r>
        <w:fldChar w:fldCharType="separate"/>
      </w:r>
      <w:r>
        <w:t>14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"_Toc151474926" </w:instrText>
      </w:r>
      <w:r>
        <w:fldChar w:fldCharType="separate"/>
      </w:r>
      <w:r>
        <w:rPr>
          <w:rStyle w:val="26"/>
          <w:lang w:val="en-GB"/>
        </w:rPr>
        <w:t>5.1</w:t>
      </w:r>
      <w:r>
        <w:rPr>
          <w:rFonts w:asciiTheme="minorHAnsi" w:hAnsiTheme="minorHAnsi" w:eastAsiaTheme="minorEastAsia" w:cstheme="minorBidi"/>
          <w:szCs w:val="22"/>
          <w14:ligatures w14:val="standardContextual"/>
        </w:rPr>
        <w:tab/>
      </w:r>
      <w:r>
        <w:rPr>
          <w:rStyle w:val="26"/>
        </w:rPr>
        <w:t>工况表</w:t>
      </w:r>
      <w:r>
        <w:tab/>
      </w:r>
      <w:r>
        <w:fldChar w:fldCharType="begin"/>
      </w:r>
      <w:r>
        <w:instrText xml:space="preserve"> PAGEREF _Toc151474926 \h </w:instrText>
      </w:r>
      <w:r>
        <w:fldChar w:fldCharType="separate"/>
      </w:r>
      <w:r>
        <w:t>14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"_Toc151474927" </w:instrText>
      </w:r>
      <w:r>
        <w:fldChar w:fldCharType="separate"/>
      </w:r>
      <w:r>
        <w:rPr>
          <w:rStyle w:val="26"/>
          <w:lang w:val="en-GB"/>
        </w:rPr>
        <w:t>5.2</w:t>
      </w:r>
      <w:r>
        <w:rPr>
          <w:rFonts w:asciiTheme="minorHAnsi" w:hAnsiTheme="minorHAnsi" w:eastAsiaTheme="minorEastAsia" w:cstheme="minorBidi"/>
          <w:szCs w:val="22"/>
          <w14:ligatures w14:val="standardContextual"/>
        </w:rPr>
        <w:tab/>
      </w:r>
      <w:r>
        <w:rPr>
          <w:rStyle w:val="26"/>
        </w:rPr>
        <w:t>冬季工况</w:t>
      </w:r>
      <w:r>
        <w:tab/>
      </w:r>
      <w:r>
        <w:fldChar w:fldCharType="begin"/>
      </w:r>
      <w:r>
        <w:instrText xml:space="preserve"> PAGEREF _Toc151474927 \h </w:instrText>
      </w:r>
      <w:r>
        <w:fldChar w:fldCharType="separate"/>
      </w:r>
      <w:r>
        <w:t>14</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"_Toc151474928" </w:instrText>
      </w:r>
      <w:r>
        <w:fldChar w:fldCharType="separate"/>
      </w:r>
      <w:r>
        <w:rPr>
          <w:rStyle w:val="26"/>
          <w:lang w:val="en-GB"/>
        </w:rPr>
        <w:t>5.2.1</w:t>
      </w:r>
      <w:r>
        <w:rPr>
          <w:rFonts w:asciiTheme="minorHAnsi" w:hAnsiTheme="minorHAnsi" w:eastAsiaTheme="minorEastAsia" w:cstheme="minorBidi"/>
          <w:szCs w:val="22"/>
          <w14:ligatures w14:val="standardContextual"/>
        </w:rPr>
        <w:tab/>
      </w:r>
      <w:r>
        <w:rPr>
          <w:rStyle w:val="26"/>
        </w:rPr>
        <w:t>人行区域风速达标分析</w:t>
      </w:r>
      <w:r>
        <w:tab/>
      </w:r>
      <w:r>
        <w:fldChar w:fldCharType="begin"/>
      </w:r>
      <w:r>
        <w:instrText xml:space="preserve"> PAGEREF _Toc151474928 \h </w:instrText>
      </w:r>
      <w:r>
        <w:fldChar w:fldCharType="separate"/>
      </w:r>
      <w:r>
        <w:t>14</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"_Toc151474929" </w:instrText>
      </w:r>
      <w:r>
        <w:fldChar w:fldCharType="separate"/>
      </w:r>
      <w:r>
        <w:rPr>
          <w:rStyle w:val="26"/>
          <w:lang w:val="en-GB"/>
        </w:rPr>
        <w:t>5.2.2</w:t>
      </w:r>
      <w:r>
        <w:rPr>
          <w:rFonts w:asciiTheme="minorHAnsi" w:hAnsiTheme="minorHAnsi" w:eastAsiaTheme="minorEastAsia" w:cstheme="minorBidi"/>
          <w:szCs w:val="22"/>
          <w14:ligatures w14:val="standardContextual"/>
        </w:rPr>
        <w:tab/>
      </w:r>
      <w:r>
        <w:rPr>
          <w:rStyle w:val="26"/>
        </w:rPr>
        <w:t>人行区域风速放大系数达标分析</w:t>
      </w:r>
      <w:r>
        <w:tab/>
      </w:r>
      <w:r>
        <w:fldChar w:fldCharType="begin"/>
      </w:r>
      <w:r>
        <w:instrText xml:space="preserve"> PAGEREF _Toc151474929 \h </w:instrText>
      </w:r>
      <w:r>
        <w:fldChar w:fldCharType="separate"/>
      </w:r>
      <w:r>
        <w:t>15</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"_Toc151474930" </w:instrText>
      </w:r>
      <w:r>
        <w:fldChar w:fldCharType="separate"/>
      </w:r>
      <w:r>
        <w:rPr>
          <w:rStyle w:val="26"/>
          <w:lang w:val="en-GB"/>
        </w:rPr>
        <w:t>5.2.3</w:t>
      </w:r>
      <w:r>
        <w:rPr>
          <w:rFonts w:asciiTheme="minorHAnsi" w:hAnsiTheme="minorHAnsi" w:eastAsiaTheme="minorEastAsia" w:cstheme="minorBidi"/>
          <w:szCs w:val="22"/>
          <w14:ligatures w14:val="standardContextual"/>
        </w:rPr>
        <w:tab/>
      </w:r>
      <w:r>
        <w:rPr>
          <w:rStyle w:val="26"/>
        </w:rPr>
        <w:t>户外休息区、儿童娱乐区域风速达标分析</w:t>
      </w:r>
      <w:r>
        <w:tab/>
      </w:r>
      <w:r>
        <w:fldChar w:fldCharType="begin"/>
      </w:r>
      <w:r>
        <w:instrText xml:space="preserve"> PAGEREF _Toc151474930 \h </w:instrText>
      </w:r>
      <w:r>
        <w:fldChar w:fldCharType="separate"/>
      </w:r>
      <w:r>
        <w:t>16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"_Toc151474931" </w:instrText>
      </w:r>
      <w:r>
        <w:fldChar w:fldCharType="separate"/>
      </w:r>
      <w:r>
        <w:rPr>
          <w:rStyle w:val="26"/>
          <w:lang w:val="en-GB"/>
        </w:rPr>
        <w:t>5.2.4</w:t>
      </w:r>
      <w:r>
        <w:rPr>
          <w:rFonts w:asciiTheme="minorHAnsi" w:hAnsiTheme="minorHAnsi" w:eastAsiaTheme="minorEastAsia" w:cstheme="minorBidi"/>
          <w:szCs w:val="22"/>
          <w14:ligatures w14:val="standardContextual"/>
        </w:rPr>
        <w:tab/>
      </w:r>
      <w:r>
        <w:rPr>
          <w:rStyle w:val="26"/>
        </w:rPr>
        <w:t>户外休息区、儿童娱乐区风速放大系数达标分析</w:t>
      </w:r>
      <w:r>
        <w:tab/>
      </w:r>
      <w:r>
        <w:fldChar w:fldCharType="begin"/>
      </w:r>
      <w:r>
        <w:instrText xml:space="preserve"> PAGEREF _Toc151474931 \h </w:instrText>
      </w:r>
      <w:r>
        <w:fldChar w:fldCharType="separate"/>
      </w:r>
      <w:r>
        <w:t>16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"_Toc151474932" </w:instrText>
      </w:r>
      <w:r>
        <w:fldChar w:fldCharType="separate"/>
      </w:r>
      <w:r>
        <w:rPr>
          <w:rStyle w:val="26"/>
          <w:lang w:val="en-GB"/>
        </w:rPr>
        <w:t>5.2.5</w:t>
      </w:r>
      <w:r>
        <w:rPr>
          <w:rFonts w:asciiTheme="minorHAnsi" w:hAnsiTheme="minorHAnsi" w:eastAsiaTheme="minorEastAsia" w:cstheme="minorBidi"/>
          <w:szCs w:val="22"/>
          <w14:ligatures w14:val="standardContextual"/>
        </w:rPr>
        <w:tab/>
      </w:r>
      <w:r>
        <w:rPr>
          <w:rStyle w:val="26"/>
        </w:rPr>
        <w:t>冬季工况风速/风速放大系数达标结果汇总</w:t>
      </w:r>
      <w:r>
        <w:tab/>
      </w:r>
      <w:r>
        <w:fldChar w:fldCharType="begin"/>
      </w:r>
      <w:r>
        <w:instrText xml:space="preserve"> PAGEREF _Toc151474932 \h </w:instrText>
      </w:r>
      <w:r>
        <w:fldChar w:fldCharType="separate"/>
      </w:r>
      <w:r>
        <w:t>17</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"_Toc151474933" </w:instrText>
      </w:r>
      <w:r>
        <w:fldChar w:fldCharType="separate"/>
      </w:r>
      <w:r>
        <w:rPr>
          <w:rStyle w:val="26"/>
          <w:lang w:val="en-GB"/>
        </w:rPr>
        <w:t>5.2.6</w:t>
      </w:r>
      <w:r>
        <w:rPr>
          <w:rFonts w:asciiTheme="minorHAnsi" w:hAnsiTheme="minorHAnsi" w:eastAsiaTheme="minorEastAsia" w:cstheme="minorBidi"/>
          <w:szCs w:val="22"/>
          <w14:ligatures w14:val="standardContextual"/>
        </w:rPr>
        <w:tab/>
      </w:r>
      <w:r>
        <w:rPr>
          <w:rStyle w:val="26"/>
        </w:rPr>
        <w:t>建筑迎风面和背风面风压分析</w:t>
      </w:r>
      <w:r>
        <w:tab/>
      </w:r>
      <w:r>
        <w:fldChar w:fldCharType="begin"/>
      </w:r>
      <w:r>
        <w:instrText xml:space="preserve"> PAGEREF _Toc151474933 \h </w:instrText>
      </w:r>
      <w:r>
        <w:fldChar w:fldCharType="separate"/>
      </w:r>
      <w:r>
        <w:t>17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"_Toc151474934" </w:instrText>
      </w:r>
      <w:r>
        <w:fldChar w:fldCharType="separate"/>
      </w:r>
      <w:r>
        <w:rPr>
          <w:rStyle w:val="26"/>
          <w:lang w:val="en-GB"/>
        </w:rPr>
        <w:t>5.3</w:t>
      </w:r>
      <w:r>
        <w:rPr>
          <w:rFonts w:asciiTheme="minorHAnsi" w:hAnsiTheme="minorHAnsi" w:eastAsiaTheme="minorEastAsia" w:cstheme="minorBidi"/>
          <w:szCs w:val="22"/>
          <w14:ligatures w14:val="standardContextual"/>
        </w:rPr>
        <w:tab/>
      </w:r>
      <w:r>
        <w:rPr>
          <w:rStyle w:val="26"/>
        </w:rPr>
        <w:t>夏季工况</w:t>
      </w:r>
      <w:r>
        <w:tab/>
      </w:r>
      <w:r>
        <w:fldChar w:fldCharType="begin"/>
      </w:r>
      <w:r>
        <w:instrText xml:space="preserve"> PAGEREF _Toc151474934 \h </w:instrText>
      </w:r>
      <w:r>
        <w:fldChar w:fldCharType="separate"/>
      </w:r>
      <w:r>
        <w:t>20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"_Toc151474935" </w:instrText>
      </w:r>
      <w:r>
        <w:fldChar w:fldCharType="separate"/>
      </w:r>
      <w:r>
        <w:rPr>
          <w:rStyle w:val="26"/>
          <w:lang w:val="en-GB"/>
        </w:rPr>
        <w:t>5.3.1</w:t>
      </w:r>
      <w:r>
        <w:rPr>
          <w:rFonts w:asciiTheme="minorHAnsi" w:hAnsiTheme="minorHAnsi" w:eastAsiaTheme="minorEastAsia" w:cstheme="minorBidi"/>
          <w:szCs w:val="22"/>
          <w14:ligatures w14:val="standardContextual"/>
        </w:rPr>
        <w:tab/>
      </w:r>
      <w:r>
        <w:rPr>
          <w:rStyle w:val="26"/>
        </w:rPr>
        <w:t>人活动区域无风区计算分析</w:t>
      </w:r>
      <w:r>
        <w:tab/>
      </w:r>
      <w:r>
        <w:fldChar w:fldCharType="begin"/>
      </w:r>
      <w:r>
        <w:instrText xml:space="preserve"> PAGEREF _Toc151474935 \h </w:instrText>
      </w:r>
      <w:r>
        <w:fldChar w:fldCharType="separate"/>
      </w:r>
      <w:r>
        <w:t>20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"_Toc151474936" </w:instrText>
      </w:r>
      <w:r>
        <w:fldChar w:fldCharType="separate"/>
      </w:r>
      <w:r>
        <w:rPr>
          <w:rStyle w:val="26"/>
          <w:lang w:val="en-GB"/>
        </w:rPr>
        <w:t>5.3.2</w:t>
      </w:r>
      <w:r>
        <w:rPr>
          <w:rFonts w:asciiTheme="minorHAnsi" w:hAnsiTheme="minorHAnsi" w:eastAsiaTheme="minorEastAsia" w:cstheme="minorBidi"/>
          <w:szCs w:val="22"/>
          <w14:ligatures w14:val="standardContextual"/>
        </w:rPr>
        <w:tab/>
      </w:r>
      <w:r>
        <w:rPr>
          <w:rStyle w:val="26"/>
        </w:rPr>
        <w:t>人活动区域旋涡区分析</w:t>
      </w:r>
      <w:r>
        <w:tab/>
      </w:r>
      <w:r>
        <w:fldChar w:fldCharType="begin"/>
      </w:r>
      <w:r>
        <w:instrText xml:space="preserve"> PAGEREF _Toc151474936 \h </w:instrText>
      </w:r>
      <w:r>
        <w:fldChar w:fldCharType="separate"/>
      </w:r>
      <w:r>
        <w:t>21</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"_Toc151474937" </w:instrText>
      </w:r>
      <w:r>
        <w:fldChar w:fldCharType="separate"/>
      </w:r>
      <w:r>
        <w:rPr>
          <w:rStyle w:val="26"/>
          <w:lang w:val="en-GB"/>
        </w:rPr>
        <w:t>5.3.3</w:t>
      </w:r>
      <w:r>
        <w:rPr>
          <w:rFonts w:asciiTheme="minorHAnsi" w:hAnsiTheme="minorHAnsi" w:eastAsiaTheme="minorEastAsia" w:cstheme="minorBidi"/>
          <w:szCs w:val="22"/>
          <w14:ligatures w14:val="standardContextual"/>
        </w:rPr>
        <w:tab/>
      </w:r>
      <w:r>
        <w:rPr>
          <w:rStyle w:val="26"/>
        </w:rPr>
        <w:t>人活动区域旋涡区/无风区达标结果汇总</w:t>
      </w:r>
      <w:r>
        <w:tab/>
      </w:r>
      <w:r>
        <w:fldChar w:fldCharType="begin"/>
      </w:r>
      <w:r>
        <w:instrText xml:space="preserve"> PAGEREF _Toc151474937 \h </w:instrText>
      </w:r>
      <w:r>
        <w:fldChar w:fldCharType="separate"/>
      </w:r>
      <w:r>
        <w:t>22</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"_Toc151474938" </w:instrText>
      </w:r>
      <w:r>
        <w:fldChar w:fldCharType="separate"/>
      </w:r>
      <w:r>
        <w:rPr>
          <w:rStyle w:val="26"/>
          <w:lang w:val="en-GB"/>
        </w:rPr>
        <w:t>5.3.4</w:t>
      </w:r>
      <w:r>
        <w:rPr>
          <w:rFonts w:asciiTheme="minorHAnsi" w:hAnsiTheme="minorHAnsi" w:eastAsiaTheme="minorEastAsia" w:cstheme="minorBidi"/>
          <w:szCs w:val="22"/>
          <w14:ligatures w14:val="standardContextual"/>
        </w:rPr>
        <w:tab/>
      </w:r>
      <w:r>
        <w:rPr>
          <w:rStyle w:val="26"/>
        </w:rPr>
        <w:t>外窗内外表面风压差达标分析</w:t>
      </w:r>
      <w:r>
        <w:tab/>
      </w:r>
      <w:r>
        <w:fldChar w:fldCharType="begin"/>
      </w:r>
      <w:r>
        <w:instrText xml:space="preserve"> PAGEREF _Toc151474938 \h </w:instrText>
      </w:r>
      <w:r>
        <w:fldChar w:fldCharType="separate"/>
      </w:r>
      <w:r>
        <w:t>22</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"_Toc151474939" </w:instrText>
      </w:r>
      <w:r>
        <w:fldChar w:fldCharType="separate"/>
      </w:r>
      <w:r>
        <w:rPr>
          <w:rStyle w:val="26"/>
          <w:lang w:val="en-GB"/>
        </w:rPr>
        <w:t>5.4</w:t>
      </w:r>
      <w:r>
        <w:rPr>
          <w:rFonts w:asciiTheme="minorHAnsi" w:hAnsiTheme="minorHAnsi" w:eastAsiaTheme="minorEastAsia" w:cstheme="minorBidi"/>
          <w:szCs w:val="22"/>
          <w14:ligatures w14:val="standardContextual"/>
        </w:rPr>
        <w:tab/>
      </w:r>
      <w:r>
        <w:rPr>
          <w:rStyle w:val="26"/>
        </w:rPr>
        <w:t>结论</w:t>
      </w:r>
      <w:r>
        <w:tab/>
      </w:r>
      <w:r>
        <w:fldChar w:fldCharType="begin"/>
      </w:r>
      <w:r>
        <w:instrText xml:space="preserve"> PAGEREF _Toc151474939 \h </w:instrText>
      </w:r>
      <w:r>
        <w:fldChar w:fldCharType="separate"/>
      </w:r>
      <w:r>
        <w:t>23</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"_Toc151474940" </w:instrText>
      </w:r>
      <w:r>
        <w:fldChar w:fldCharType="separate"/>
      </w:r>
      <w:r>
        <w:rPr>
          <w:rStyle w:val="26"/>
          <w:lang w:val="en-GB"/>
        </w:rPr>
        <w:t>5.4.1</w:t>
      </w:r>
      <w:r>
        <w:rPr>
          <w:rFonts w:asciiTheme="minorHAnsi" w:hAnsiTheme="minorHAnsi" w:eastAsiaTheme="minorEastAsia" w:cstheme="minorBidi"/>
          <w:szCs w:val="22"/>
          <w14:ligatures w14:val="standardContextual"/>
        </w:rPr>
        <w:tab/>
      </w:r>
      <w:r>
        <w:rPr>
          <w:rStyle w:val="26"/>
        </w:rPr>
        <w:t>冬季工况达标判断</w:t>
      </w:r>
      <w:r>
        <w:tab/>
      </w:r>
      <w:r>
        <w:fldChar w:fldCharType="begin"/>
      </w:r>
      <w:r>
        <w:instrText xml:space="preserve"> PAGEREF _Toc151474940 \h </w:instrText>
      </w:r>
      <w:r>
        <w:fldChar w:fldCharType="separate"/>
      </w:r>
      <w:r>
        <w:t>23</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"_Toc151474941" </w:instrText>
      </w:r>
      <w:r>
        <w:fldChar w:fldCharType="separate"/>
      </w:r>
      <w:r>
        <w:rPr>
          <w:rStyle w:val="26"/>
          <w:lang w:val="en-GB"/>
        </w:rPr>
        <w:t>5.4.2</w:t>
      </w:r>
      <w:r>
        <w:rPr>
          <w:rFonts w:asciiTheme="minorHAnsi" w:hAnsiTheme="minorHAnsi" w:eastAsiaTheme="minorEastAsia" w:cstheme="minorBidi"/>
          <w:szCs w:val="22"/>
          <w14:ligatures w14:val="standardContextual"/>
        </w:rPr>
        <w:tab/>
      </w:r>
      <w:r>
        <w:rPr>
          <w:rStyle w:val="26"/>
        </w:rPr>
        <w:t>过渡季、夏季工况达标判断</w:t>
      </w:r>
      <w:r>
        <w:tab/>
      </w:r>
      <w:r>
        <w:fldChar w:fldCharType="begin"/>
      </w:r>
      <w:r>
        <w:instrText xml:space="preserve"> PAGEREF _Toc151474941 \h </w:instrText>
      </w:r>
      <w:r>
        <w:fldChar w:fldCharType="separate"/>
      </w:r>
      <w:r>
        <w:t>24</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6" w:name="_Toc452108759"/>
      <w:bookmarkStart w:id="7" w:name="_Toc151474909"/>
      <w:r>
        <w:rPr>
          <w:rFonts w:hint="eastAsia"/>
        </w:rPr>
        <w:t>项目概况</w:t>
      </w:r>
      <w:bookmarkEnd w:id="6"/>
      <w:bookmarkEnd w:id="7"/>
    </w:p>
    <w:p>
      <w:pPr>
        <w:pStyle w:val="3"/>
        <w:ind w:firstLine="420"/>
        <w:rPr>
          <w:lang w:val="en-US"/>
        </w:rPr>
      </w:pPr>
      <w:bookmarkStart w:id="8" w:name="项目概况"/>
      <w:bookmarkEnd w:id="8"/>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9" w:name="_Toc452108760"/>
      <w:bookmarkStart w:id="10" w:name="_Toc151474910"/>
      <w:r>
        <w:rPr>
          <w:rFonts w:hint="eastAsia"/>
        </w:rPr>
        <w:t>总</w:t>
      </w:r>
      <w:r>
        <w:t>平面图</w:t>
      </w:r>
      <w:bookmarkEnd w:id="9"/>
      <w:bookmarkEnd w:id="10"/>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1"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1"/>
    </w:tbl>
    <w:p>
      <w:pPr>
        <w:pStyle w:val="3"/>
        <w:ind w:firstLine="0" w:firstLineChars="0"/>
        <w:jc w:val="center"/>
        <w:rPr>
          <w:lang w:val="en-US"/>
        </w:rPr>
      </w:pPr>
      <w:r>
        <w:rPr>
          <w:rFonts w:hint="eastAsia"/>
          <w:lang w:val="en-US"/>
        </w:rPr>
        <w:t xml:space="preserve"> </w:t>
      </w:r>
      <w:bookmarkStart w:id="12" w:name="总平面图"/>
      <w:bookmarkEnd w:id="12"/>
      <w:r>
        <w:drawing>
          <wp:inline distT="0" distB="0" distL="0" distR="0">
            <wp:extent cx="5667375" cy="3800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3" w:name="_Toc151474911"/>
      <w:bookmarkStart w:id="14" w:name="_Toc452108761"/>
      <w:r>
        <w:rPr>
          <w:rFonts w:hint="eastAsia"/>
        </w:rPr>
        <w:t>三</w:t>
      </w:r>
      <w:r>
        <w:t>维视图</w:t>
      </w:r>
      <w:bookmarkEnd w:id="13"/>
      <w:bookmarkEnd w:id="1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5"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5"/>
    </w:tbl>
    <w:p>
      <w:pPr>
        <w:pStyle w:val="3"/>
        <w:ind w:firstLine="0" w:firstLineChars="0"/>
        <w:jc w:val="center"/>
        <w:rPr>
          <w:lang w:val="en-US"/>
        </w:rPr>
      </w:pPr>
      <w:r>
        <w:rPr>
          <w:rFonts w:hint="eastAsia"/>
          <w:lang w:val="en-US"/>
        </w:rPr>
        <w:t xml:space="preserve"> </w:t>
      </w:r>
      <w:bookmarkStart w:id="16" w:name="三维视图"/>
      <w:bookmarkEnd w:id="16"/>
      <w:r>
        <w:drawing>
          <wp:inline distT="0" distB="0" distL="0" distR="0">
            <wp:extent cx="5667375" cy="3819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7" w:name="_Toc452108762"/>
      <w:bookmarkStart w:id="18" w:name="TitleFormat"/>
      <w:bookmarkStart w:id="19" w:name="_Toc151474912"/>
      <w:r>
        <w:rPr>
          <w:rFonts w:hint="eastAsia"/>
        </w:rPr>
        <w:t>计算</w:t>
      </w:r>
      <w:r>
        <w:t>依据</w:t>
      </w:r>
      <w:bookmarkEnd w:id="17"/>
      <w:bookmarkEnd w:id="18"/>
      <w:bookmarkEnd w:id="19"/>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0" w:name="参考标准名称1"/>
      <w:r>
        <w:rPr>
          <w:rFonts w:hint="eastAsia"/>
          <w:lang w:val="en-US"/>
        </w:rPr>
        <w:t>黑龙江《绿色建筑评价标准》DB23T 1642－2020</w:t>
      </w:r>
      <w:bookmarkEnd w:id="20"/>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1" w:name="_Toc452108763"/>
      <w:bookmarkStart w:id="22" w:name="_Toc151474913"/>
      <w:r>
        <w:rPr>
          <w:rFonts w:hint="eastAsia"/>
        </w:rPr>
        <w:t>参考</w:t>
      </w:r>
      <w:r>
        <w:t>标准</w:t>
      </w:r>
      <w:bookmarkEnd w:id="21"/>
      <w:bookmarkEnd w:id="22"/>
    </w:p>
    <w:p>
      <w:pPr>
        <w:pStyle w:val="3"/>
        <w:ind w:firstLine="420"/>
        <w:rPr>
          <w:lang w:val="en-US"/>
        </w:rPr>
      </w:pPr>
      <w:r>
        <w:rPr>
          <w:rFonts w:hint="eastAsia"/>
          <w:lang w:val="en-US"/>
        </w:rPr>
        <w:t>室外风环境评价依据为</w:t>
      </w:r>
      <w:bookmarkStart w:id="23" w:name="参考标准名称2"/>
      <w:r>
        <w:rPr>
          <w:rFonts w:hint="eastAsia"/>
          <w:lang w:val="en-US"/>
        </w:rPr>
        <w:t>黑龙江《绿色建筑评价标准》DB23T 1642－2020</w:t>
      </w:r>
      <w:bookmarkEnd w:id="23"/>
      <w:r>
        <w:rPr>
          <w:rFonts w:hint="eastAsia"/>
          <w:lang w:val="en-US"/>
        </w:rPr>
        <w:t>中有关室外风环境的条目要求。具体要求如下：</w:t>
      </w:r>
    </w:p>
    <w:p>
      <w:pPr>
        <w:pStyle w:val="3"/>
        <w:ind w:firstLine="420"/>
        <w:rPr>
          <w:lang w:val="en-US"/>
        </w:rPr>
      </w:pPr>
      <w:bookmarkStart w:id="24" w:name="_Toc451698935"/>
      <w:bookmarkStart w:id="25" w:name="_Toc452108764"/>
      <w:bookmarkStart w:id="26"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7" w:name="参考标准冬季风速得分"/>
      <w:r>
        <w:rPr>
          <w:lang w:val="en-US"/>
        </w:rPr>
        <w:t>4</w:t>
      </w:r>
      <w:bookmarkEnd w:id="27"/>
      <w:r>
        <w:rPr>
          <w:rFonts w:hint="eastAsia"/>
          <w:lang w:val="en-US"/>
        </w:rPr>
        <w:t>分；除迎风第一排建筑外，建筑迎风面与背风面表面风压差不超过5Pa，得</w:t>
      </w:r>
      <w:bookmarkStart w:id="28" w:name="参考标准冬季风压得分"/>
      <w:r>
        <w:rPr>
          <w:lang w:val="en-US"/>
        </w:rPr>
        <w:t>2</w:t>
      </w:r>
      <w:bookmarkEnd w:id="28"/>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29" w:name="参考标准夏季风速得分"/>
      <w:r>
        <w:rPr>
          <w:lang w:val="en-US"/>
        </w:rPr>
        <w:t>2</w:t>
      </w:r>
      <w:bookmarkEnd w:id="29"/>
      <w:r>
        <w:rPr>
          <w:rFonts w:hint="eastAsia"/>
          <w:lang w:val="en-US"/>
        </w:rPr>
        <w:t>分；50%以上可开启外窗室内外表面的风压差大于0.5Pa，得</w:t>
      </w:r>
      <w:bookmarkStart w:id="30" w:name="参考标准夏季风压得分"/>
      <w:r>
        <w:rPr>
          <w:lang w:val="en-US"/>
        </w:rPr>
        <w:t>2</w:t>
      </w:r>
      <w:bookmarkEnd w:id="30"/>
      <w:r>
        <w:rPr>
          <w:rFonts w:hint="eastAsia"/>
          <w:lang w:val="en-US"/>
        </w:rPr>
        <w:t>分。</w:t>
      </w:r>
    </w:p>
    <w:p>
      <w:pPr>
        <w:pStyle w:val="2"/>
      </w:pPr>
      <w:bookmarkStart w:id="31" w:name="_Toc151474914"/>
      <w:r>
        <w:rPr>
          <w:rFonts w:hint="eastAsia"/>
        </w:rPr>
        <w:t>计算原理</w:t>
      </w:r>
      <w:bookmarkEnd w:id="24"/>
      <w:bookmarkEnd w:id="25"/>
      <w:bookmarkEnd w:id="31"/>
    </w:p>
    <w:p>
      <w:pPr>
        <w:pStyle w:val="4"/>
        <w:numPr>
          <w:ilvl w:val="1"/>
          <w:numId w:val="3"/>
        </w:numPr>
      </w:pPr>
      <w:bookmarkStart w:id="32" w:name="_Toc151474915"/>
      <w:bookmarkStart w:id="33" w:name="_Toc509844740"/>
      <w:bookmarkStart w:id="34" w:name="_Toc451698937"/>
      <w:bookmarkStart w:id="35" w:name="_Toc452108765"/>
      <w:r>
        <w:rPr>
          <w:rFonts w:hint="eastAsia"/>
        </w:rPr>
        <w:t>风场计算域</w:t>
      </w:r>
      <w:bookmarkEnd w:id="32"/>
      <w:bookmarkEnd w:id="33"/>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6" w:name="_Toc151474916"/>
      <w:r>
        <w:rPr>
          <w:rFonts w:hint="eastAsia"/>
        </w:rPr>
        <w:t>冬季工况风场计算域</w:t>
      </w:r>
      <w:bookmarkEnd w:id="36"/>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119</w:t>
            </w:r>
          </w:p>
        </w:tc>
      </w:tr>
    </w:tbl>
    <w:p>
      <w:pPr>
        <w:pStyle w:val="3"/>
        <w:ind w:firstLine="0" w:firstLineChars="0"/>
        <w:jc w:val="center"/>
        <w:rPr>
          <w:lang w:val="en-US"/>
        </w:rPr>
      </w:pPr>
      <w:r>
        <w:drawing>
          <wp:inline distT="0" distB="0" distL="0" distR="0">
            <wp:extent cx="5667375" cy="3409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7" w:name="_Toc151474917"/>
      <w:r>
        <w:rPr>
          <w:rFonts w:hint="eastAsia"/>
        </w:rPr>
        <w:t>夏季工况风场计算域</w:t>
      </w:r>
      <w:bookmarkEnd w:id="3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8" w:name="冬季风场X尺寸"/>
            <w:r>
              <w:t>541</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9" w:name="冬季风场Y尺寸"/>
            <w:r>
              <w:t>365</w:t>
            </w:r>
            <w:bookmark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0" w:name="冬季风场Z尺寸"/>
            <w:r>
              <w:t>115</w:t>
            </w:r>
            <w:bookmarkEnd w:id="40"/>
          </w:p>
        </w:tc>
      </w:tr>
    </w:tbl>
    <w:p>
      <w:pPr>
        <w:pStyle w:val="3"/>
        <w:ind w:firstLine="0" w:firstLineChars="0"/>
        <w:jc w:val="center"/>
        <w:rPr>
          <w:lang w:val="en-US"/>
        </w:rPr>
      </w:pPr>
      <w:bookmarkStart w:id="41" w:name="冬季工况风场计算域图示"/>
      <w:bookmarkEnd w:id="41"/>
      <w:r>
        <w:drawing>
          <wp:inline distT="0" distB="0" distL="0" distR="0">
            <wp:extent cx="5667375" cy="3409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2" w:name="计算域"/>
      <w:bookmarkEnd w:id="42"/>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3" w:name="_Toc509844741"/>
      <w:bookmarkStart w:id="44" w:name="_Toc151474918"/>
      <w:r>
        <w:rPr>
          <w:rFonts w:hint="eastAsia"/>
        </w:rPr>
        <w:t>网格划分</w:t>
      </w:r>
      <w:bookmarkEnd w:id="43"/>
      <w:bookmarkEnd w:id="44"/>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45" w:name="OLE_LINK276"/>
      <w:bookmarkStart w:id="46" w:name="OLE_LINK277"/>
      <w:r>
        <w:rPr>
          <w:rFonts w:hint="eastAsia"/>
        </w:rPr>
        <w:t>1）普通网格：指除靠近地面和建筑以外的网格，通常不需要特别加密处理</w:t>
      </w:r>
    </w:p>
    <w:p>
      <w:pPr>
        <w:pStyle w:val="12"/>
        <w:numPr>
          <w:ilvl w:val="0"/>
          <w:numId w:val="4"/>
        </w:numPr>
        <w:spacing w:before="156"/>
      </w:pPr>
      <w:bookmarkStart w:id="47" w:name="OLE_LINK15"/>
      <w:r>
        <w:rPr>
          <w:rFonts w:hint="eastAsia"/>
        </w:rPr>
        <w:t>分弧精度：对于有圆弧特征的建筑局部，把圆弧分解为线段时，弦到弧的最大距离；</w:t>
      </w:r>
    </w:p>
    <w:bookmarkEnd w:id="47"/>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5"/>
      <w:bookmarkEnd w:id="46"/>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533267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drawing>
          <wp:inline distT="0" distB="0" distL="0" distR="0">
            <wp:extent cx="5667375" cy="3429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
                    <a:stretch>
                      <a:fillRect/>
                    </a:stretch>
                  </pic:blipFill>
                  <pic:spPr>
                    <a:xfrm>
                      <a:off x="0" y="0"/>
                      <a:ext cx="5667375" cy="3429000"/>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网格图-冬季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48" w:name="冬季网格总数"/>
            <w:r>
              <w:t>502911</w:t>
            </w:r>
            <w:bookmarkEnd w:id="4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9" w:name="冬季分弧精度"/>
            <w:r>
              <w:t>0.24</w:t>
            </w:r>
            <w:bookmarkEnd w:id="4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0" w:name="冬季初始网格"/>
            <w:r>
              <w:t>8.0</w:t>
            </w:r>
            <w:bookmarkEnd w:id="5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1" w:name="冬季最小细分级数"/>
            <w:r>
              <w:t>1</w:t>
            </w:r>
            <w:bookmarkEnd w:id="5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2" w:name="冬季最大细分级数"/>
            <w:r>
              <w:t>2</w:t>
            </w:r>
            <w:bookmarkEnd w:id="5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3" w:name="冬季远场细分级数"/>
            <w:r>
              <w:t>1</w:t>
            </w:r>
            <w:bookmarkEnd w:id="5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冬季近场细分级数"/>
            <w:r>
              <w:t>2</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地面附面层数"/>
            <w:r>
              <w:t>2</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建筑附面层数"/>
            <w:r>
              <w:t>0</w:t>
            </w:r>
            <w:bookmarkEnd w:id="56"/>
          </w:p>
        </w:tc>
      </w:tr>
    </w:tbl>
    <w:p>
      <w:pPr>
        <w:rPr>
          <w:szCs w:val="21"/>
          <w:lang w:val="en-US"/>
        </w:rPr>
      </w:pPr>
    </w:p>
    <w:p>
      <w:pPr>
        <w:jc w:val="center"/>
      </w:pPr>
      <w:r>
        <w:drawing>
          <wp:inline distT="0" distB="0" distL="0" distR="0">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
                    <a:stretch>
                      <a:fillRect/>
                    </a:stretch>
                  </pic:blipFill>
                  <pic:spPr>
                    <a:xfrm>
                      <a:off x="0" y="0"/>
                      <a:ext cx="5667375" cy="3429000"/>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2</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7" w:name="季节"/>
      <w:r>
        <w:rPr>
          <w:rFonts w:hint="eastAsia" w:ascii="黑体" w:hAnsi="黑体" w:eastAsia="黑体"/>
          <w:sz w:val="20"/>
        </w:rPr>
        <w:t>夏季</w:t>
      </w:r>
      <w:bookmarkEnd w:id="57"/>
    </w:p>
    <w:p>
      <w:pPr>
        <w:pStyle w:val="3"/>
        <w:ind w:firstLine="630" w:firstLineChars="300"/>
        <w:rPr>
          <w:rFonts w:ascii="黑体" w:hAnsi="黑体" w:eastAsia="黑体"/>
          <w:szCs w:val="20"/>
          <w:lang w:val="en-US"/>
        </w:rPr>
      </w:pPr>
      <w:bookmarkStart w:id="58" w:name="网格划分信息"/>
      <w:bookmarkEnd w:id="58"/>
      <w:r>
        <w:rPr>
          <w:rFonts w:hint="eastAsia" w:ascii="黑体" w:hAnsi="黑体" w:eastAsia="黑体"/>
          <w:szCs w:val="20"/>
          <w:lang w:val="en-US"/>
        </w:rPr>
        <w:t>注：前述计算域随风向不同，所以相同的网格方案会产生不同的网格数量。</w:t>
      </w:r>
    </w:p>
    <w:p>
      <w:pPr>
        <w:pStyle w:val="3"/>
        <w:ind w:firstLine="0" w:firstLineChars="0"/>
        <w:rPr>
          <w:rFonts w:ascii="黑体" w:hAnsi="黑体" w:eastAsia="黑体"/>
          <w:szCs w:val="20"/>
          <w:lang w:val="en-US"/>
        </w:rPr>
      </w:pPr>
      <w:bookmarkStart w:id="59" w:name="网格图"/>
      <w:bookmarkEnd w:id="59"/>
    </w:p>
    <w:p>
      <w:pPr>
        <w:pStyle w:val="4"/>
        <w:numPr>
          <w:ilvl w:val="1"/>
          <w:numId w:val="3"/>
        </w:numPr>
      </w:pPr>
      <w:bookmarkStart w:id="60" w:name="_Toc151474919"/>
      <w:bookmarkStart w:id="61" w:name="_Toc509844742"/>
      <w:r>
        <w:rPr>
          <w:rFonts w:hint="eastAsia"/>
        </w:rPr>
        <w:t>边界条件</w:t>
      </w:r>
      <w:bookmarkEnd w:id="60"/>
      <w:bookmarkEnd w:id="61"/>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2" w:name="_Toc509844743"/>
      <w:bookmarkStart w:id="63" w:name="_Toc151474920"/>
      <w:r>
        <w:rPr>
          <w:rFonts w:hint="eastAsia"/>
        </w:rPr>
        <w:t>入口与出口边界条件</w:t>
      </w:r>
      <w:bookmarkEnd w:id="62"/>
      <w:bookmarkEnd w:id="63"/>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3pt;width:71.3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8pt;width:15.0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8pt;width:14.4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4" w:name="地面粗糙度指数2"/>
      <w:r>
        <w:rPr>
          <w:rFonts w:hint="eastAsia"/>
          <w:lang w:val="en-US"/>
        </w:rPr>
        <w:t>0.14</w:t>
      </w:r>
      <w:bookmarkEnd w:id="64"/>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5" w:name="_Toc509844744"/>
      <w:bookmarkStart w:id="66" w:name="_Toc151474921"/>
      <w:r>
        <w:rPr>
          <w:rFonts w:hint="eastAsia"/>
        </w:rPr>
        <w:t>壁面边界条件</w:t>
      </w:r>
      <w:bookmarkEnd w:id="65"/>
      <w:bookmarkEnd w:id="66"/>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67" w:name="_Toc151474922"/>
      <w:r>
        <w:rPr>
          <w:rFonts w:hint="eastAsia"/>
        </w:rPr>
        <w:t>湍流模型</w:t>
      </w:r>
      <w:bookmarkEnd w:id="34"/>
      <w:bookmarkEnd w:id="35"/>
      <w:bookmarkEnd w:id="67"/>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68" w:name="_Toc451698939"/>
      <w:bookmarkStart w:id="69" w:name="_Toc151474923"/>
      <w:bookmarkStart w:id="70" w:name="_Toc452108767"/>
      <w:r>
        <w:rPr>
          <w:rFonts w:hint="eastAsia"/>
        </w:rPr>
        <w:t>求解计算</w:t>
      </w:r>
      <w:bookmarkEnd w:id="68"/>
      <w:bookmarkEnd w:id="69"/>
      <w:bookmarkEnd w:id="70"/>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1"/>
      <w:r>
        <w:rPr>
          <w:rFonts w:hint="eastAsia" w:ascii="黑体" w:hAnsi="黑体" w:eastAsia="黑体"/>
          <w:sz w:val="20"/>
          <w:szCs w:val="20"/>
        </w:rPr>
        <w:t xml:space="preserve"> </w:t>
      </w:r>
      <w:bookmarkStart w:id="72" w:name="_Ref225175618"/>
      <w:r>
        <w:rPr>
          <w:rFonts w:hint="eastAsia" w:ascii="黑体" w:hAnsi="黑体" w:eastAsia="黑体"/>
          <w:sz w:val="20"/>
          <w:szCs w:val="20"/>
        </w:rPr>
        <w:t>计算流体力学的控制方程</w:t>
      </w:r>
      <w:bookmarkEnd w:id="72"/>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6"/>
    </w:p>
    <w:p>
      <w:pPr>
        <w:pStyle w:val="4"/>
      </w:pPr>
      <w:bookmarkStart w:id="73" w:name="_Toc151474924"/>
      <w:bookmarkStart w:id="74" w:name="_Toc509844747"/>
      <w:r>
        <w:rPr>
          <w:rFonts w:hint="eastAsia"/>
        </w:rPr>
        <w:t>风速放大系数计算</w:t>
      </w:r>
      <w:bookmarkEnd w:id="73"/>
      <w:bookmarkEnd w:id="74"/>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4pt;width:12.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15pt;width:23.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05pt;width:23.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05pt;width:20.0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0.14</w:t>
      </w:r>
      <w:bookmarkEnd w:id="75"/>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6" w:name="_Toc151474925"/>
      <w:bookmarkStart w:id="77" w:name="_Toc452108768"/>
      <w:r>
        <w:rPr>
          <w:rFonts w:hint="eastAsia"/>
        </w:rPr>
        <w:t>结果</w:t>
      </w:r>
      <w:r>
        <w:t>分析</w:t>
      </w:r>
      <w:bookmarkEnd w:id="76"/>
      <w:bookmarkEnd w:id="77"/>
    </w:p>
    <w:p>
      <w:pPr>
        <w:pStyle w:val="4"/>
        <w:rPr>
          <w:szCs w:val="21"/>
        </w:rPr>
      </w:pPr>
      <w:bookmarkStart w:id="78" w:name="_Toc151474926"/>
      <w:r>
        <w:rPr>
          <w:rFonts w:hint="eastAsia"/>
          <w:szCs w:val="21"/>
        </w:rPr>
        <w:t>工况</w:t>
      </w:r>
      <w:r>
        <w:rPr>
          <w:szCs w:val="21"/>
        </w:rPr>
        <w:t>表</w:t>
      </w:r>
      <w:bookmarkEnd w:id="78"/>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79"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90.0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315.0</w:t>
            </w:r>
          </w:p>
        </w:tc>
      </w:tr>
      <w:bookmarkEnd w:id="79"/>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0" w:name="_Toc151474927"/>
      <w:bookmarkStart w:id="81" w:name="_Toc509844750"/>
      <w:r>
        <w:rPr>
          <w:rFonts w:hint="eastAsia"/>
        </w:rPr>
        <w:t>冬季工况</w:t>
      </w:r>
      <w:bookmarkEnd w:id="80"/>
      <w:bookmarkEnd w:id="81"/>
    </w:p>
    <w:p>
      <w:pPr>
        <w:ind w:firstLine="420" w:firstLineChars="200"/>
        <w:jc w:val="both"/>
      </w:pPr>
      <w:r>
        <w:rPr>
          <w:rFonts w:hint="eastAsia"/>
          <w:lang w:val="en-US"/>
        </w:rPr>
        <w:t>本项目冬季工况的入口边界风速为</w:t>
      </w:r>
      <w:bookmarkStart w:id="82" w:name="冬季入口边界风速"/>
      <w:r>
        <w:rPr>
          <w:rFonts w:hint="eastAsia" w:ascii="Calibri" w:hAnsi="Calibri"/>
          <w:szCs w:val="21"/>
        </w:rPr>
        <w:t>4.70</w:t>
      </w:r>
      <w:bookmarkEnd w:id="82"/>
      <w:r>
        <w:rPr>
          <w:rFonts w:ascii="Calibri" w:hAnsi="Calibri"/>
          <w:szCs w:val="21"/>
        </w:rPr>
        <w:t>m/s</w:t>
      </w:r>
      <w:r>
        <w:rPr>
          <w:rFonts w:hint="eastAsia" w:ascii="Calibri" w:hAnsi="Calibri"/>
          <w:szCs w:val="21"/>
        </w:rPr>
        <w:t>，风向为</w:t>
      </w:r>
      <w:bookmarkStart w:id="83" w:name="冬季入口边界风向"/>
      <w:r>
        <w:rPr>
          <w:szCs w:val="21"/>
        </w:rPr>
        <w:t>N</w:t>
      </w:r>
      <w:bookmarkEnd w:id="83"/>
      <w:r>
        <w:rPr>
          <w:rFonts w:hint="eastAsia"/>
          <w:szCs w:val="21"/>
        </w:rPr>
        <w:t>。</w:t>
      </w:r>
    </w:p>
    <w:p>
      <w:pPr>
        <w:pStyle w:val="5"/>
      </w:pPr>
      <w:bookmarkStart w:id="84" w:name="_Toc509844751"/>
      <w:bookmarkStart w:id="85" w:name="_Toc151474928"/>
      <w:r>
        <w:rPr>
          <w:rFonts w:hint="eastAsia"/>
        </w:rPr>
        <w:t>人行区域风速达标分析</w:t>
      </w:r>
      <w:bookmarkEnd w:id="84"/>
      <w:bookmarkEnd w:id="85"/>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86" w:name="冬季工况人行区风速分析结论"/>
      <w:bookmarkEnd w:id="86"/>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87" w:name="冬季工况人行区风速云图"/>
      <w:bookmarkEnd w:id="87"/>
      <w:r>
        <w:drawing>
          <wp:inline distT="0" distB="0" distL="0" distR="0">
            <wp:extent cx="5667375" cy="3171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5667375" cy="3171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88" w:name="_Toc151474929"/>
      <w:bookmarkStart w:id="89" w:name="_Toc509844752"/>
      <w:r>
        <w:rPr>
          <w:rFonts w:hint="eastAsia"/>
        </w:rPr>
        <w:t>人行区域风速放大系数达标分析</w:t>
      </w:r>
      <w:bookmarkEnd w:id="88"/>
      <w:bookmarkEnd w:id="89"/>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0" w:name="冬季工况人行区风速放大系数分析结论"/>
      <w:bookmarkEnd w:id="90"/>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1" w:name="冬季工况人行区风速放大系数云图"/>
      <w:bookmarkEnd w:id="91"/>
      <w:r>
        <w:drawing>
          <wp:inline distT="0" distB="0" distL="0" distR="0">
            <wp:extent cx="5667375" cy="31242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3"/>
                    <a:stretch>
                      <a:fillRect/>
                    </a:stretch>
                  </pic:blipFill>
                  <pic:spPr>
                    <a:xfrm>
                      <a:off x="0" y="0"/>
                      <a:ext cx="5667375" cy="31242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92" w:name="_Toc151474930"/>
      <w:r>
        <w:rPr>
          <w:rFonts w:hint="eastAsia"/>
        </w:rPr>
        <w:t>户外休息区、儿童娱乐区</w:t>
      </w:r>
      <w:r>
        <w:t>域风速达标分析</w:t>
      </w:r>
      <w:bookmarkEnd w:id="92"/>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bookmarkStart w:id="93" w:name="冬季工况休息区风速分析结论"/>
      <w:bookmarkEnd w:id="93"/>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4" w:name="冬季工况休息区风速云图"/>
      <w:bookmarkEnd w:id="94"/>
      <w:r>
        <w:drawing>
          <wp:inline distT="0" distB="0" distL="0" distR="0">
            <wp:extent cx="5667375" cy="31718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5667375" cy="3171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5"/>
      </w:pPr>
      <w:bookmarkStart w:id="95" w:name="_Toc151474931"/>
      <w:r>
        <w:rPr>
          <w:rFonts w:hint="eastAsia"/>
        </w:rPr>
        <w:t>户外休息区、儿童娱乐区风速放大系数达标</w:t>
      </w:r>
      <w:r>
        <w:t>分析</w:t>
      </w:r>
      <w:bookmarkEnd w:id="95"/>
    </w:p>
    <w:p>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6" w:name="冬季工况户外休息区和儿童娱乐区风速放大系数分析结论"/>
      <w:bookmarkEnd w:id="96"/>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pPr>
        <w:pStyle w:val="13"/>
        <w:jc w:val="center"/>
      </w:pPr>
      <w:bookmarkStart w:id="97" w:name="冬季工况户外休息区和儿童娱乐区风速放大系数云图"/>
      <w:bookmarkEnd w:id="97"/>
      <w:r>
        <w:drawing>
          <wp:inline distT="0" distB="0" distL="0" distR="0">
            <wp:extent cx="5667375" cy="3124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5"/>
                    <a:stretch>
                      <a:fillRect/>
                    </a:stretch>
                  </pic:blipFill>
                  <pic:spPr>
                    <a:xfrm>
                      <a:off x="0" y="0"/>
                      <a:ext cx="5667375" cy="31242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98" w:name="_Toc509844753"/>
      <w:bookmarkStart w:id="99" w:name="_Toc151474932"/>
      <w:r>
        <w:rPr>
          <w:rFonts w:hint="eastAsia"/>
        </w:rPr>
        <w:t>冬季工况风速/风速放大系数达标</w:t>
      </w:r>
      <w:bookmarkEnd w:id="98"/>
      <w:r>
        <w:rPr>
          <w:rFonts w:hint="eastAsia"/>
        </w:rPr>
        <w:t>结果汇总</w:t>
      </w:r>
      <w:bookmarkEnd w:id="99"/>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休息区风速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休息区风速达标判断"/>
            <w:r>
              <w:rPr>
                <w:rFonts w:hint="eastAsia" w:ascii="宋体" w:hAnsi="宋体" w:cs="宋体"/>
                <w:color w:val="000000"/>
                <w:sz w:val="22"/>
                <w:szCs w:val="22"/>
                <w:lang w:val="en-US"/>
              </w:rPr>
              <w:t>是</w:t>
            </w:r>
            <w:bookmarkEnd w:id="10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06" w:name="冬季工况休息区和儿童娱乐区风速放大系数标准要求限值"/>
            <w:r>
              <w:rPr>
                <w:rFonts w:ascii="宋体" w:hAnsi="宋体" w:cs="宋体"/>
                <w:szCs w:val="21"/>
              </w:rPr>
              <w:t>2</w:t>
            </w:r>
            <w:bookmarkEnd w:id="106"/>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7" w:name="冬季工况户外休息区风速放大系数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8" w:name="冬季工况户外休息区风速放大系数达标判断"/>
            <w:r>
              <w:rPr>
                <w:rFonts w:hint="eastAsia" w:ascii="宋体" w:hAnsi="宋体" w:cs="宋体"/>
                <w:color w:val="000000"/>
                <w:sz w:val="22"/>
                <w:szCs w:val="22"/>
                <w:lang w:val="en-US"/>
              </w:rPr>
              <w:t>是</w:t>
            </w:r>
            <w:bookmarkEnd w:id="108"/>
          </w:p>
        </w:tc>
      </w:tr>
    </w:tbl>
    <w:p/>
    <w:p>
      <w:pPr>
        <w:pStyle w:val="5"/>
      </w:pPr>
      <w:bookmarkStart w:id="109" w:name="_Toc151474933"/>
      <w:r>
        <w:rPr>
          <w:rFonts w:hint="eastAsia"/>
        </w:rPr>
        <w:t>建筑迎风面和背风面风压分析</w:t>
      </w:r>
      <w:bookmarkEnd w:id="109"/>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0" w:name="冬季工况建筑迎风面风压云图"/>
      <w:bookmarkEnd w:id="110"/>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7"/>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1" w:name="冬季工况建筑背风面风压云图"/>
      <w:bookmarkEnd w:id="111"/>
      <w:r>
        <w:drawing>
          <wp:inline distT="0" distB="0" distL="0" distR="0">
            <wp:extent cx="5667375" cy="3429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a:stretch>
                      <a:fillRect/>
                    </a:stretch>
                  </pic:blipFill>
                  <pic:spPr>
                    <a:xfrm>
                      <a:off x="0" y="0"/>
                      <a:ext cx="5667375" cy="3429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2"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3" w:name="建筑迎背风面风压差表_建筑名"/>
      <w:r>
        <w:rPr>
          <w:rFonts w:ascii="Cambria" w:hAnsi="Cambria" w:eastAsia="黑体"/>
          <w:sz w:val="20"/>
        </w:rPr>
        <w:t>Vent风环境</w:t>
      </w:r>
      <w:bookmarkEnd w:id="113"/>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-3.20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-3.24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-4.41</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4.96</w:t>
            </w:r>
          </w:p>
        </w:tc>
      </w:tr>
    </w:tbl>
    <w:p>
      <w:bookmarkStart w:id="114" w:name="结论"/>
      <w:bookmarkEnd w:id="114"/>
      <w:r>
        <w:t>标准要求：迎背风面窗平均风压差（绝对值）≤5Pa。结论：该楼</w:t>
      </w:r>
      <w:r>
        <w:rPr>
          <w:b/>
          <w:color w:val="0000FF"/>
        </w:rPr>
        <w:t>达标</w:t>
      </w:r>
      <w:r>
        <w:t>。</w:t>
      </w:r>
    </w:p>
    <w:bookmarkEnd w:id="112"/>
    <w:p>
      <w:pPr>
        <w:jc w:val="center"/>
        <w:rPr>
          <w:rFonts w:ascii="Cambria" w:hAnsi="Cambria" w:eastAsia="黑体"/>
          <w:sz w:val="20"/>
        </w:rPr>
      </w:pPr>
      <w:bookmarkStart w:id="115" w:name="建筑迎背风面风压差表_新增"/>
      <w:bookmarkEnd w:id="115"/>
      <w:bookmarkStart w:id="116" w:name="建筑迎背风面风压差表"/>
    </w:p>
    <w:bookmarkEnd w:id="116"/>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7"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Vent风环境</w:t>
            </w:r>
          </w:p>
        </w:tc>
        <w:tc>
          <w:tcPr>
            <w:tcW w:w="1276" w:type="dxa"/>
            <w:shd w:val="clear" w:color="auto" w:fill="auto"/>
            <w:vAlign w:val="center"/>
          </w:tcPr>
          <w:p>
            <w:pPr>
              <w:jc w:val="center"/>
              <w:rPr>
                <w:lang w:val="en-US"/>
              </w:rPr>
            </w:pPr>
            <w:r>
              <w:rPr>
                <w:lang w:val="en-US"/>
              </w:rPr>
              <w:t>0.55</w:t>
            </w:r>
          </w:p>
        </w:tc>
        <w:tc>
          <w:tcPr>
            <w:tcW w:w="1276" w:type="dxa"/>
            <w:shd w:val="clear" w:color="auto" w:fill="auto"/>
            <w:vAlign w:val="center"/>
          </w:tcPr>
          <w:p>
            <w:pPr>
              <w:jc w:val="center"/>
              <w:rPr>
                <w:lang w:val="en-US"/>
              </w:rPr>
            </w:pPr>
            <w:r>
              <w:rPr>
                <w:lang w:val="en-US"/>
              </w:rPr>
              <w:t>-4.41</w:t>
            </w:r>
          </w:p>
        </w:tc>
        <w:tc>
          <w:tcPr>
            <w:tcW w:w="1701" w:type="dxa"/>
            <w:shd w:val="clear" w:color="auto" w:fill="auto"/>
            <w:vAlign w:val="center"/>
          </w:tcPr>
          <w:p>
            <w:pPr>
              <w:jc w:val="center"/>
              <w:rPr>
                <w:lang w:val="en-US"/>
              </w:rPr>
            </w:pPr>
            <w:r>
              <w:rPr>
                <w:lang w:val="en-US"/>
              </w:rPr>
              <w:t>4.96</w:t>
            </w:r>
          </w:p>
        </w:tc>
        <w:tc>
          <w:tcPr>
            <w:tcW w:w="973" w:type="dxa"/>
            <w:shd w:val="clear" w:color="auto" w:fill="auto"/>
            <w:vAlign w:val="center"/>
          </w:tcPr>
          <w:p>
            <w:pPr>
              <w:jc w:val="center"/>
              <w:rPr>
                <w:lang w:val="en-US"/>
              </w:rPr>
            </w:pPr>
            <w:r>
              <w:rPr>
                <w:lang w:val="en-US"/>
              </w:rPr>
              <w:t>是</w:t>
            </w:r>
          </w:p>
        </w:tc>
      </w:tr>
      <w:bookmarkEnd w:id="117"/>
    </w:tbl>
    <w:p>
      <w:pPr>
        <w:rPr>
          <w:lang w:val="en-US"/>
        </w:rPr>
      </w:pPr>
      <w:bookmarkStart w:id="118" w:name="建筑迎风和背风面风压差结论汇总结论"/>
      <w:bookmarkEnd w:id="118"/>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19" w:name="冬季工况"/>
      <w:bookmarkEnd w:id="119"/>
      <w:r>
        <w:rPr>
          <w:rFonts w:hint="eastAsia"/>
          <w:lang w:val="en-US"/>
        </w:rPr>
        <w:t xml:space="preserve"> </w:t>
      </w:r>
    </w:p>
    <w:p>
      <w:pPr>
        <w:pStyle w:val="4"/>
      </w:pPr>
      <w:bookmarkStart w:id="120" w:name="季节1"/>
      <w:bookmarkStart w:id="121" w:name="_Toc509844759"/>
      <w:bookmarkStart w:id="122" w:name="_Toc151474934"/>
      <w:r>
        <w:rPr>
          <w:rFonts w:hint="eastAsia"/>
        </w:rPr>
        <w:t>夏季</w:t>
      </w:r>
      <w:bookmarkEnd w:id="120"/>
      <w:r>
        <w:rPr>
          <w:rFonts w:hint="eastAsia"/>
        </w:rPr>
        <w:t>工况</w:t>
      </w:r>
      <w:bookmarkEnd w:id="121"/>
      <w:bookmarkEnd w:id="122"/>
    </w:p>
    <w:p>
      <w:pPr>
        <w:pStyle w:val="3"/>
        <w:ind w:firstLine="420"/>
      </w:pPr>
      <w:r>
        <w:rPr>
          <w:rFonts w:hint="eastAsia"/>
          <w:lang w:val="en-US"/>
        </w:rPr>
        <w:t>本项目</w:t>
      </w:r>
      <w:bookmarkStart w:id="123" w:name="季节2"/>
      <w:r>
        <w:rPr>
          <w:rFonts w:hint="eastAsia"/>
          <w:lang w:val="en-US"/>
        </w:rPr>
        <w:t>夏季</w:t>
      </w:r>
      <w:bookmarkEnd w:id="123"/>
      <w:r>
        <w:rPr>
          <w:rFonts w:hint="eastAsia"/>
          <w:lang w:val="en-US"/>
        </w:rPr>
        <w:t>工况的入口边界风速为</w:t>
      </w:r>
      <w:bookmarkStart w:id="124" w:name="入口边界风速"/>
      <w:r>
        <w:rPr>
          <w:rFonts w:hint="eastAsia"/>
          <w:lang w:val="en-US"/>
        </w:rPr>
        <w:t>3.00</w:t>
      </w:r>
      <w:bookmarkEnd w:id="124"/>
      <w:r>
        <w:rPr>
          <w:rFonts w:hint="eastAsia"/>
          <w:lang w:val="en-US"/>
        </w:rPr>
        <w:t>m/s，风向为</w:t>
      </w:r>
      <w:bookmarkStart w:id="125" w:name="入口边界风向"/>
      <w:r>
        <w:t>SE</w:t>
      </w:r>
      <w:bookmarkEnd w:id="125"/>
      <w:r>
        <w:rPr>
          <w:rFonts w:hint="eastAsia"/>
          <w:lang w:val="en-US"/>
        </w:rPr>
        <w:t>。</w:t>
      </w:r>
    </w:p>
    <w:p>
      <w:pPr>
        <w:pStyle w:val="3"/>
        <w:ind w:firstLine="420"/>
      </w:pPr>
      <w:r>
        <w:rPr>
          <w:rFonts w:hint="eastAsia"/>
          <w:lang w:val="en-US"/>
        </w:rPr>
        <w:t>根据前述《绿色建筑评价标准》 对于夏季工况的要求，</w:t>
      </w:r>
      <w:bookmarkStart w:id="126" w:name="季节3"/>
      <w:r>
        <w:rPr>
          <w:rFonts w:hint="eastAsia"/>
          <w:lang w:val="en-US"/>
        </w:rPr>
        <w:t>夏季</w:t>
      </w:r>
      <w:bookmarkEnd w:id="126"/>
      <w:r>
        <w:rPr>
          <w:rFonts w:hint="eastAsia"/>
          <w:lang w:val="en-US"/>
        </w:rPr>
        <w:t>典型风速和风向条件下，场地内人活动区不出现涡旋或无风区。通过该项标准指导设计确保合理的建筑布局，在</w:t>
      </w:r>
      <w:bookmarkStart w:id="127" w:name="季节4"/>
      <w:r>
        <w:rPr>
          <w:rFonts w:hint="eastAsia"/>
          <w:lang w:val="en-US"/>
        </w:rPr>
        <w:t>夏季</w:t>
      </w:r>
      <w:bookmarkEnd w:id="127"/>
      <w:r>
        <w:rPr>
          <w:rFonts w:hint="eastAsia"/>
          <w:lang w:val="en-US"/>
        </w:rPr>
        <w:t>形成有效的巷道风，优化街区自然通风环境，避免</w:t>
      </w:r>
      <w:bookmarkStart w:id="128" w:name="季节5"/>
      <w:r>
        <w:rPr>
          <w:rFonts w:hint="eastAsia"/>
          <w:lang w:val="en-US"/>
        </w:rPr>
        <w:t>夏季</w:t>
      </w:r>
      <w:bookmarkEnd w:id="128"/>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9" w:name="_Toc151474935"/>
      <w:bookmarkStart w:id="130" w:name="_Toc509844760"/>
      <w:r>
        <w:rPr>
          <w:rFonts w:hint="eastAsia"/>
        </w:rPr>
        <w:t>人活动区域无风区计算分析</w:t>
      </w:r>
      <w:bookmarkEnd w:id="129"/>
      <w:bookmarkEnd w:id="130"/>
    </w:p>
    <w:p>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1" w:name="人活动区风速分析结论"/>
      <w:bookmarkEnd w:id="131"/>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bookmarkStart w:id="132" w:name="人行区风速云图"/>
      <w:bookmarkEnd w:id="132"/>
      <w:r>
        <w:drawing>
          <wp:inline distT="0" distB="0" distL="0" distR="0">
            <wp:extent cx="5667375" cy="3171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9"/>
                    <a:stretch>
                      <a:fillRect/>
                    </a:stretch>
                  </pic:blipFill>
                  <pic:spPr>
                    <a:xfrm>
                      <a:off x="0" y="0"/>
                      <a:ext cx="5667375" cy="31718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3" w:name="季节6"/>
      <w:r>
        <w:rPr>
          <w:rFonts w:hint="eastAsia" w:ascii="黑体" w:hAnsi="黑体" w:eastAsia="黑体"/>
          <w:sz w:val="20"/>
          <w:szCs w:val="20"/>
        </w:rPr>
        <w:t>夏季</w:t>
      </w:r>
      <w:bookmarkEnd w:id="133"/>
      <w:r>
        <w:rPr>
          <w:rFonts w:hint="eastAsia"/>
        </w:rPr>
        <w:t xml:space="preserve"> </w:t>
      </w:r>
    </w:p>
    <w:p>
      <w:pPr>
        <w:pStyle w:val="3"/>
        <w:ind w:firstLine="420"/>
      </w:pPr>
    </w:p>
    <w:p>
      <w:pPr>
        <w:pStyle w:val="5"/>
      </w:pPr>
      <w:bookmarkStart w:id="134" w:name="_Toc509844761"/>
      <w:bookmarkStart w:id="135" w:name="_Toc151474936"/>
      <w:r>
        <w:rPr>
          <w:rFonts w:hint="eastAsia"/>
        </w:rPr>
        <w:t>人活动区域旋涡区分析</w:t>
      </w:r>
      <w:bookmarkEnd w:id="134"/>
      <w:bookmarkEnd w:id="135"/>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lang w:val="en-US"/>
        </w:rPr>
      </w:pPr>
      <w:bookmarkStart w:id="136" w:name="人行区风速矢量图"/>
      <w:bookmarkEnd w:id="136"/>
      <w:r>
        <w:drawing>
          <wp:inline distT="0" distB="0" distL="0" distR="0">
            <wp:extent cx="5667375" cy="36195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0"/>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pPr>
        <w:pStyle w:val="3"/>
        <w:ind w:firstLine="420"/>
        <w:rPr>
          <w:lang w:val="en-US"/>
        </w:rPr>
      </w:pPr>
    </w:p>
    <w:p>
      <w:pPr>
        <w:pStyle w:val="5"/>
      </w:pPr>
      <w:bookmarkStart w:id="137" w:name="_Toc509844762"/>
      <w:bookmarkStart w:id="138" w:name="_Toc151474937"/>
      <w:r>
        <w:rPr>
          <w:rFonts w:hint="eastAsia"/>
        </w:rPr>
        <w:t>人活动区域旋涡区/无风区达标</w:t>
      </w:r>
      <w:bookmarkEnd w:id="137"/>
      <w:r>
        <w:rPr>
          <w:rFonts w:hint="eastAsia"/>
        </w:rPr>
        <w:t>结果汇总</w:t>
      </w:r>
      <w:bookmarkEnd w:id="13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9" w:name="季节8"/>
      <w:r>
        <w:rPr>
          <w:rFonts w:hint="eastAsia" w:ascii="黑体" w:hAnsi="黑体" w:eastAsia="黑体"/>
          <w:sz w:val="20"/>
          <w:szCs w:val="20"/>
        </w:rPr>
        <w:t>夏季</w:t>
      </w:r>
      <w:bookmarkEnd w:id="139"/>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0" w:name="是否有无风区"/>
            <w:r>
              <w:rPr>
                <w:rFonts w:hint="eastAsia" w:ascii="宋体" w:hAnsi="宋体" w:cs="宋体"/>
                <w:color w:val="FF0000"/>
                <w:sz w:val="22"/>
                <w:szCs w:val="22"/>
                <w:lang w:val="en-US"/>
              </w:rPr>
              <w:t>是</w:t>
            </w:r>
            <w:bookmarkEnd w:id="140"/>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1" w:name="无风区达标判断"/>
            <w:r>
              <w:rPr>
                <w:rFonts w:hint="eastAsia" w:ascii="宋体" w:hAnsi="宋体" w:cs="宋体"/>
                <w:color w:val="FF0000"/>
                <w:sz w:val="22"/>
                <w:szCs w:val="22"/>
                <w:lang w:val="en-US"/>
              </w:rPr>
              <w:t>否</w:t>
            </w:r>
            <w:bookmarkEnd w:id="141"/>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2" w:name="是否有旋涡区"/>
            <w:r>
              <w:rPr>
                <w:rFonts w:ascii="宋体" w:hAnsi="宋体" w:cs="宋体"/>
                <w:color w:val="000000"/>
                <w:sz w:val="22"/>
                <w:szCs w:val="22"/>
                <w:lang w:val="en-US"/>
              </w:rPr>
              <w:t>否</w:t>
            </w:r>
            <w:bookmarkEnd w:id="142"/>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3" w:name="旋涡区达标判断"/>
            <w:r>
              <w:rPr>
                <w:rFonts w:ascii="宋体" w:hAnsi="宋体" w:cs="宋体"/>
                <w:color w:val="000000"/>
                <w:sz w:val="22"/>
                <w:szCs w:val="22"/>
                <w:lang w:val="en-US"/>
              </w:rPr>
              <w:t>是</w:t>
            </w:r>
            <w:bookmarkEnd w:id="143"/>
          </w:p>
        </w:tc>
      </w:tr>
    </w:tbl>
    <w:p>
      <w:pPr>
        <w:pStyle w:val="5"/>
      </w:pPr>
      <w:bookmarkStart w:id="144" w:name="_Toc504501018"/>
      <w:bookmarkStart w:id="145" w:name="_Toc509844763"/>
      <w:bookmarkStart w:id="146" w:name="_Toc151474938"/>
      <w:r>
        <w:rPr>
          <w:rFonts w:hint="eastAsia"/>
        </w:rPr>
        <w:t>外窗内外表面风压</w:t>
      </w:r>
      <w:bookmarkEnd w:id="144"/>
      <w:r>
        <w:rPr>
          <w:rFonts w:hint="eastAsia"/>
        </w:rPr>
        <w:t>差达标分析</w:t>
      </w:r>
      <w:bookmarkEnd w:id="145"/>
      <w:bookmarkEnd w:id="146"/>
    </w:p>
    <w:p>
      <w:pPr>
        <w:pStyle w:val="3"/>
        <w:ind w:firstLine="420"/>
      </w:pPr>
      <w:r>
        <w:rPr>
          <w:rFonts w:hint="eastAsia"/>
          <w:lang w:val="en-US"/>
        </w:rPr>
        <w:t>分析《绿色建筑评价标准》，</w:t>
      </w:r>
      <w:bookmarkStart w:id="147" w:name="季节9"/>
      <w:r>
        <w:rPr>
          <w:rFonts w:hint="eastAsia"/>
          <w:lang w:val="en-US"/>
        </w:rPr>
        <w:t>夏季</w:t>
      </w:r>
      <w:bookmarkEnd w:id="147"/>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8" w:name="迎风面风压云图"/>
      <w:bookmarkEnd w:id="148"/>
      <w: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1"/>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9" w:name="季节10"/>
      <w:r>
        <w:rPr>
          <w:rFonts w:hint="eastAsia" w:ascii="黑体" w:hAnsi="黑体" w:eastAsia="黑体"/>
          <w:sz w:val="20"/>
          <w:szCs w:val="20"/>
        </w:rPr>
        <w:t>夏季</w:t>
      </w:r>
      <w:bookmarkEnd w:id="149"/>
    </w:p>
    <w:p>
      <w:pPr>
        <w:pStyle w:val="13"/>
        <w:jc w:val="center"/>
      </w:pPr>
      <w:bookmarkStart w:id="150" w:name="背风面风压云图"/>
      <w:bookmarkEnd w:id="150"/>
      <w: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2"/>
                    <a:stretch>
                      <a:fillRect/>
                    </a:stretch>
                  </pic:blipFill>
                  <pic:spPr>
                    <a:xfrm>
                      <a:off x="0" y="0"/>
                      <a:ext cx="5667375" cy="34290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1" w:name="季节11"/>
      <w:r>
        <w:rPr>
          <w:rFonts w:hint="eastAsia" w:ascii="黑体" w:hAnsi="黑体" w:eastAsia="黑体"/>
          <w:sz w:val="20"/>
          <w:szCs w:val="20"/>
        </w:rPr>
        <w:t>夏季</w:t>
      </w:r>
      <w:bookmarkEnd w:id="151"/>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DT单体(Vent风环境)</w:t>
            </w:r>
          </w:p>
        </w:tc>
        <w:tc>
          <w:tcPr>
            <w:tcW w:w="1134" w:type="dxa"/>
            <w:shd w:val="clear" w:color="auto" w:fill="auto"/>
            <w:vAlign w:val="center"/>
          </w:tcPr>
          <w:p>
            <w:pPr>
              <w:jc w:val="center"/>
              <w:rPr>
                <w:lang w:val="en-US"/>
              </w:rPr>
            </w:pPr>
            <w:r>
              <w:rPr>
                <w:lang w:val="en-US"/>
              </w:rPr>
              <w:t>49</w:t>
            </w:r>
          </w:p>
        </w:tc>
        <w:tc>
          <w:tcPr>
            <w:tcW w:w="1984" w:type="dxa"/>
            <w:shd w:val="clear" w:color="auto" w:fill="auto"/>
            <w:vAlign w:val="center"/>
          </w:tcPr>
          <w:p>
            <w:pPr>
              <w:jc w:val="center"/>
              <w:rPr>
                <w:lang w:val="en-US"/>
              </w:rPr>
            </w:pPr>
            <w:r>
              <w:rPr>
                <w:lang w:val="en-US"/>
              </w:rPr>
              <w:t>29</w:t>
            </w:r>
          </w:p>
        </w:tc>
        <w:tc>
          <w:tcPr>
            <w:tcW w:w="1116" w:type="dxa"/>
            <w:shd w:val="clear" w:color="auto" w:fill="auto"/>
            <w:vAlign w:val="center"/>
          </w:tcPr>
          <w:p>
            <w:pPr>
              <w:jc w:val="center"/>
              <w:rPr>
                <w:lang w:val="en-US"/>
              </w:rPr>
            </w:pPr>
            <w:r>
              <w:rPr>
                <w:lang w:val="en-US"/>
              </w:rPr>
              <w:t>59.18</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bookmarkStart w:id="152" w:name="建筑外窗室内外风压差达标判定"/>
      <w:bookmarkEnd w:id="152"/>
    </w:p>
    <w:p/>
    <w:p>
      <w:pPr>
        <w:rPr>
          <w:lang w:val="en-US"/>
        </w:rPr>
      </w:pPr>
      <w:bookmarkStart w:id="153" w:name="建筑室内外风压差达标判定结论"/>
      <w:r>
        <w:rPr>
          <w:rFonts w:hint="eastAsia"/>
          <w:lang w:val="en-US"/>
        </w:rPr>
        <w:t>结论：本项目中所有建筑均满足“50%以上可开启外窗室内外表面的风压差大于0.5Pa”的要求。</w:t>
      </w:r>
      <w:bookmarkEnd w:id="153"/>
      <w:r>
        <w:rPr>
          <w:rFonts w:hint="eastAsia"/>
          <w:lang w:val="en-US"/>
        </w:rPr>
        <w:t xml:space="preserve"> </w:t>
      </w:r>
    </w:p>
    <w:p>
      <w:pPr>
        <w:rPr>
          <w:lang w:val="en-US"/>
        </w:rPr>
      </w:pPr>
      <w:bookmarkStart w:id="154" w:name="其他工况"/>
      <w:bookmarkEnd w:id="154"/>
      <w:r>
        <w:rPr>
          <w:rFonts w:hint="eastAsia"/>
          <w:lang w:val="en-US"/>
        </w:rPr>
        <w:t xml:space="preserve"> </w:t>
      </w:r>
    </w:p>
    <w:p>
      <w:pPr>
        <w:pStyle w:val="4"/>
      </w:pPr>
      <w:bookmarkStart w:id="155" w:name="_Toc509844764"/>
      <w:bookmarkStart w:id="156" w:name="_Toc151474939"/>
      <w:r>
        <w:rPr>
          <w:rFonts w:hint="eastAsia"/>
        </w:rPr>
        <w:t>结论</w:t>
      </w:r>
      <w:bookmarkEnd w:id="155"/>
      <w:bookmarkEnd w:id="156"/>
    </w:p>
    <w:p>
      <w:pPr>
        <w:pStyle w:val="5"/>
      </w:pPr>
      <w:bookmarkStart w:id="157" w:name="_Toc509844765"/>
      <w:bookmarkStart w:id="158" w:name="_Toc151474940"/>
      <w:r>
        <w:rPr>
          <w:rFonts w:hint="eastAsia"/>
        </w:rPr>
        <w:t>冬季工况达标判断</w:t>
      </w:r>
      <w:bookmarkEnd w:id="157"/>
      <w:bookmarkEnd w:id="158"/>
      <w:bookmarkStart w:id="159" w:name="_Toc509844766"/>
      <w:bookmarkEnd w:id="159"/>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60" w:name="标准要求冬季风速得分"/>
            <w:r>
              <w:rPr>
                <w:rFonts w:hint="eastAsia"/>
                <w:lang w:val="en-US"/>
              </w:rPr>
              <w:t>4</w:t>
            </w:r>
            <w:bookmarkEnd w:id="160"/>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61" w:name="冬季风速结果所有文字"/>
            <w:r>
              <w:rPr>
                <w:rFonts w:hint="eastAsia"/>
                <w:lang w:val="en-US"/>
              </w:rPr>
              <w:t>人行区</w:t>
            </w:r>
            <w:bookmarkStart w:id="162" w:name="冬季风速结果"/>
            <w:r>
              <w:t>没有出现</w:t>
            </w:r>
            <w:bookmarkEnd w:id="162"/>
            <w:r>
              <w:rPr>
                <w:rFonts w:hint="eastAsia"/>
                <w:lang w:val="en-US"/>
              </w:rPr>
              <w:t>风速大于</w:t>
            </w:r>
            <w:r>
              <w:rPr>
                <w:lang w:val="en-US"/>
              </w:rPr>
              <w:t>5m/s</w:t>
            </w:r>
            <w:r>
              <w:rPr>
                <w:rFonts w:hint="eastAsia"/>
                <w:lang w:val="en-US"/>
              </w:rPr>
              <w:t>的区域，户外休息区、儿童娱乐区</w:t>
            </w:r>
            <w:bookmarkStart w:id="163" w:name="冬季风速结果2"/>
            <w:r>
              <w:t>没有出现</w:t>
            </w:r>
            <w:bookmarkEnd w:id="163"/>
            <w:r>
              <w:rPr>
                <w:rFonts w:hint="eastAsia"/>
                <w:lang w:val="en-US"/>
              </w:rPr>
              <w:t>风速大于2m/s的区域</w:t>
            </w:r>
            <w:bookmarkEnd w:id="161"/>
          </w:p>
        </w:tc>
        <w:tc>
          <w:tcPr>
            <w:tcW w:w="1985" w:type="dxa"/>
            <w:vMerge w:val="restart"/>
            <w:tcBorders>
              <w:top w:val="single" w:color="auto" w:sz="4" w:space="0"/>
            </w:tcBorders>
            <w:shd w:val="clear" w:color="auto" w:fill="auto"/>
            <w:vAlign w:val="center"/>
          </w:tcPr>
          <w:p>
            <w:pPr>
              <w:jc w:val="center"/>
              <w:rPr>
                <w:b/>
                <w:lang w:val="en-US"/>
              </w:rPr>
            </w:pPr>
            <w:bookmarkStart w:id="164" w:name="冬季风速达标判定"/>
            <w:r>
              <w:rPr>
                <w:rFonts w:hint="eastAsia"/>
                <w:b/>
                <w:lang w:val="en-US"/>
              </w:rPr>
              <w:t>达标</w:t>
            </w:r>
            <w:bookmarkEnd w:id="164"/>
          </w:p>
        </w:tc>
        <w:tc>
          <w:tcPr>
            <w:tcW w:w="1416" w:type="dxa"/>
            <w:vMerge w:val="restart"/>
            <w:tcBorders>
              <w:top w:val="single" w:color="auto" w:sz="4" w:space="0"/>
            </w:tcBorders>
            <w:shd w:val="clear" w:color="auto" w:fill="auto"/>
            <w:vAlign w:val="center"/>
          </w:tcPr>
          <w:p>
            <w:pPr>
              <w:jc w:val="center"/>
              <w:rPr>
                <w:lang w:val="en-US"/>
              </w:rPr>
            </w:pPr>
            <w:bookmarkStart w:id="165" w:name="冬季风速得分"/>
            <w:r>
              <w:rPr>
                <w:rFonts w:hint="eastAsia"/>
                <w:lang w:val="en-US"/>
              </w:rPr>
              <w:t>4</w:t>
            </w:r>
            <w:bookmarkEnd w:id="16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66" w:name="冬季风速放大系数结果所有文字"/>
            <w:r>
              <w:rPr>
                <w:rFonts w:hint="eastAsia"/>
                <w:lang w:val="en-US"/>
              </w:rPr>
              <w:t>人行区</w:t>
            </w:r>
            <w:bookmarkStart w:id="167" w:name="冬季风速放大系数结果人行区"/>
            <w:bookmarkEnd w:id="167"/>
            <w:r>
              <w:rPr>
                <w:rFonts w:hint="eastAsia"/>
                <w:lang w:val="en-US"/>
              </w:rPr>
              <w:t>、户外休息区</w:t>
            </w:r>
            <w:r>
              <w:rPr>
                <w:lang w:val="en-US"/>
              </w:rPr>
              <w:t>、</w:t>
            </w:r>
            <w:r>
              <w:rPr>
                <w:rFonts w:hint="eastAsia"/>
                <w:lang w:val="en-US"/>
              </w:rPr>
              <w:t>儿童娱乐区</w:t>
            </w:r>
            <w:bookmarkStart w:id="168" w:name="冬季风速放大系数结果休息区"/>
            <w:r>
              <w:t>没有出现</w:t>
            </w:r>
            <w:bookmarkEnd w:id="168"/>
            <w:r>
              <w:rPr>
                <w:rFonts w:hint="eastAsia"/>
                <w:lang w:val="en-US"/>
              </w:rPr>
              <w:t>风速放大系数大于等于2的区域</w:t>
            </w:r>
            <w:bookmarkEnd w:id="166"/>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9" w:name="标准要求冬季风压得分"/>
            <w:r>
              <w:rPr>
                <w:rFonts w:hint="eastAsia"/>
                <w:lang w:val="en-US"/>
              </w:rPr>
              <w:t>2</w:t>
            </w:r>
            <w:bookmarkEnd w:id="169"/>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70" w:name="冬季迎背风面结果"/>
            <w:r>
              <w:t>没有出现</w:t>
            </w:r>
            <w:bookmarkEnd w:id="170"/>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71" w:name="冬季迎背风面达标判定"/>
            <w:r>
              <w:rPr>
                <w:rFonts w:hint="eastAsia"/>
                <w:b/>
                <w:lang w:val="en-US"/>
              </w:rPr>
              <w:t>达标</w:t>
            </w:r>
            <w:bookmarkEnd w:id="171"/>
          </w:p>
        </w:tc>
        <w:tc>
          <w:tcPr>
            <w:tcW w:w="1416" w:type="dxa"/>
            <w:shd w:val="clear" w:color="auto" w:fill="auto"/>
            <w:vAlign w:val="center"/>
          </w:tcPr>
          <w:p>
            <w:pPr>
              <w:jc w:val="center"/>
              <w:rPr>
                <w:lang w:val="en-US"/>
              </w:rPr>
            </w:pPr>
            <w:bookmarkStart w:id="172" w:name="冬季迎背风面得分"/>
            <w:r>
              <w:rPr>
                <w:rFonts w:hint="eastAsia"/>
                <w:lang w:val="en-US"/>
              </w:rPr>
              <w:t>2</w:t>
            </w:r>
            <w:bookmarkEnd w:id="172"/>
            <w:r>
              <w:rPr>
                <w:rFonts w:hint="eastAsia"/>
                <w:lang w:val="en-US"/>
              </w:rPr>
              <w:t>分</w:t>
            </w:r>
          </w:p>
        </w:tc>
      </w:tr>
    </w:tbl>
    <w:p>
      <w:pPr>
        <w:rPr>
          <w:szCs w:val="21"/>
          <w:lang w:val="en-US"/>
        </w:rPr>
      </w:pPr>
    </w:p>
    <w:p>
      <w:pPr>
        <w:pStyle w:val="5"/>
      </w:pPr>
      <w:bookmarkStart w:id="173" w:name="_Toc509844767"/>
      <w:bookmarkEnd w:id="173"/>
      <w:bookmarkStart w:id="174" w:name="_Toc509844768"/>
      <w:bookmarkEnd w:id="174"/>
      <w:bookmarkStart w:id="175" w:name="_Toc509844769"/>
      <w:bookmarkStart w:id="176" w:name="_Toc151474941"/>
      <w:r>
        <w:rPr>
          <w:rFonts w:hint="eastAsia"/>
        </w:rPr>
        <w:t>过渡季、夏季工况达标判断</w:t>
      </w:r>
      <w:bookmarkEnd w:id="175"/>
      <w:bookmarkEnd w:id="17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7" w:name="标准要求夏季风速得分"/>
            <w:r>
              <w:rPr>
                <w:rFonts w:hint="eastAsia"/>
                <w:lang w:val="en-US"/>
              </w:rPr>
              <w:t>2</w:t>
            </w:r>
            <w:bookmarkEnd w:id="177"/>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78" w:name="夏季无风区结果人活动区文字"/>
            <w:r>
              <w:rPr>
                <w:rFonts w:hint="eastAsia"/>
                <w:lang w:val="en-US"/>
              </w:rPr>
              <w:t>人活动区</w:t>
            </w:r>
            <w:bookmarkStart w:id="179" w:name="夏季无风区结果"/>
            <w:r>
              <w:rPr>
                <w:color w:val="FF0000"/>
              </w:rPr>
              <w:t>有</w:t>
            </w:r>
            <w:bookmarkEnd w:id="178"/>
            <w:bookmarkEnd w:id="179"/>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80" w:name="夏季无风区达标判定"/>
            <w:r>
              <w:rPr>
                <w:rFonts w:hint="eastAsia"/>
                <w:b/>
                <w:color w:val="FF0000"/>
                <w:lang w:val="en-US"/>
              </w:rPr>
              <w:t>不达标</w:t>
            </w:r>
            <w:bookmarkEnd w:id="180"/>
          </w:p>
        </w:tc>
        <w:tc>
          <w:tcPr>
            <w:tcW w:w="1416" w:type="dxa"/>
            <w:vMerge w:val="restart"/>
            <w:tcBorders>
              <w:top w:val="single" w:color="auto" w:sz="4" w:space="0"/>
            </w:tcBorders>
            <w:shd w:val="clear" w:color="auto" w:fill="auto"/>
            <w:vAlign w:val="center"/>
          </w:tcPr>
          <w:p>
            <w:pPr>
              <w:jc w:val="center"/>
              <w:rPr>
                <w:lang w:val="en-US"/>
              </w:rPr>
            </w:pPr>
            <w:bookmarkStart w:id="181" w:name="夏季无风区得分"/>
            <w:r>
              <w:rPr>
                <w:rFonts w:hint="eastAsia"/>
                <w:lang w:val="en-US"/>
              </w:rPr>
              <w:t>0</w:t>
            </w:r>
            <w:bookmarkEnd w:id="181"/>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bookmarkStart w:id="182" w:name="夏季旋涡区结果人活动区文字"/>
            <w:r>
              <w:rPr>
                <w:rFonts w:hint="eastAsia"/>
                <w:lang w:val="en-US"/>
              </w:rPr>
              <w:t>人活动区</w:t>
            </w:r>
            <w:bookmarkEnd w:id="182"/>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3" w:name="标准要求夏季风压得分"/>
            <w:r>
              <w:rPr>
                <w:rFonts w:hint="eastAsia"/>
                <w:lang w:val="en-US"/>
              </w:rPr>
              <w:t>2</w:t>
            </w:r>
            <w:bookmarkEnd w:id="183"/>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84" w:name="夏季窗内外风压差结果"/>
            <w:r>
              <w:rPr>
                <w:rFonts w:hint="eastAsia"/>
                <w:lang w:val="en-US"/>
              </w:rPr>
              <w:t>满足</w:t>
            </w:r>
            <w:bookmarkEnd w:id="184"/>
            <w:r>
              <w:rPr>
                <w:rFonts w:hint="eastAsia"/>
                <w:lang w:val="en-US"/>
              </w:rPr>
              <w:t>标准要求</w:t>
            </w:r>
          </w:p>
        </w:tc>
        <w:tc>
          <w:tcPr>
            <w:tcW w:w="1844" w:type="dxa"/>
            <w:shd w:val="clear" w:color="auto" w:fill="auto"/>
            <w:vAlign w:val="center"/>
          </w:tcPr>
          <w:p>
            <w:pPr>
              <w:jc w:val="center"/>
              <w:rPr>
                <w:b/>
                <w:lang w:val="en-US"/>
              </w:rPr>
            </w:pPr>
            <w:bookmarkStart w:id="185" w:name="夏季窗内外风压差达标判定"/>
            <w:r>
              <w:rPr>
                <w:rFonts w:hint="eastAsia"/>
                <w:b/>
                <w:lang w:val="en-US"/>
              </w:rPr>
              <w:t>达标</w:t>
            </w:r>
            <w:bookmarkEnd w:id="185"/>
          </w:p>
        </w:tc>
        <w:tc>
          <w:tcPr>
            <w:tcW w:w="1416" w:type="dxa"/>
            <w:shd w:val="clear" w:color="auto" w:fill="auto"/>
            <w:vAlign w:val="center"/>
          </w:tcPr>
          <w:p>
            <w:pPr>
              <w:jc w:val="center"/>
              <w:rPr>
                <w:lang w:val="en-US"/>
              </w:rPr>
            </w:pPr>
            <w:bookmarkStart w:id="186" w:name="夏季窗内外风压差得分"/>
            <w:r>
              <w:rPr>
                <w:rFonts w:hint="eastAsia"/>
                <w:lang w:val="en-US"/>
              </w:rPr>
              <w:t>2</w:t>
            </w:r>
            <w:bookmarkEnd w:id="186"/>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87" w:name="总得分"/>
      <w:r>
        <w:rPr>
          <w:rFonts w:hint="eastAsia"/>
          <w:lang w:val="en-US"/>
        </w:rPr>
        <w:t>8</w:t>
      </w:r>
      <w:bookmarkEnd w:id="187"/>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ENT2022</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xODY5OTU1NzdkODQ0M2ViMTM0MzRjZjE3NzFiZTIifQ=="/>
  </w:docVars>
  <w:rsids>
    <w:rsidRoot w:val="00311D40"/>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1D40"/>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264C0"/>
    <w:rsid w:val="00634E08"/>
    <w:rsid w:val="00642291"/>
    <w:rsid w:val="00642309"/>
    <w:rsid w:val="0064239B"/>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autoRedefine/>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autoRedefine/>
    <w:qFormat/>
    <w:uiPriority w:val="0"/>
    <w:pPr>
      <w:numPr>
        <w:ilvl w:val="7"/>
        <w:numId w:val="1"/>
      </w:numPr>
      <w:spacing w:before="240" w:after="60"/>
      <w:outlineLvl w:val="7"/>
    </w:pPr>
    <w:rPr>
      <w:i/>
      <w:iCs/>
      <w:sz w:val="24"/>
      <w:szCs w:val="24"/>
    </w:rPr>
  </w:style>
  <w:style w:type="paragraph" w:styleId="11">
    <w:name w:val="heading 9"/>
    <w:basedOn w:val="1"/>
    <w:next w:val="1"/>
    <w:link w:val="42"/>
    <w:autoRedefine/>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Block Text"/>
    <w:autoRedefine/>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autoRedefine/>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autoRedefine/>
    <w:qFormat/>
    <w:uiPriority w:val="0"/>
    <w:pPr>
      <w:spacing w:line="240" w:lineRule="auto"/>
    </w:pPr>
    <w:rPr>
      <w:sz w:val="18"/>
      <w:szCs w:val="18"/>
    </w:rPr>
  </w:style>
  <w:style w:type="paragraph" w:styleId="17">
    <w:name w:val="footer"/>
    <w:basedOn w:val="1"/>
    <w:link w:val="29"/>
    <w:autoRedefine/>
    <w:qFormat/>
    <w:uiPriority w:val="99"/>
    <w:pPr>
      <w:tabs>
        <w:tab w:val="center" w:pos="4153"/>
        <w:tab w:val="right" w:pos="8306"/>
      </w:tabs>
      <w:snapToGrid w:val="0"/>
    </w:pPr>
    <w:rPr>
      <w:szCs w:val="18"/>
    </w:rPr>
  </w:style>
  <w:style w:type="paragraph" w:styleId="18">
    <w:name w:val="header"/>
    <w:basedOn w:val="1"/>
    <w:link w:val="43"/>
    <w:autoRedefine/>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autoRedefine/>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autoRedefine/>
    <w:qFormat/>
    <w:uiPriority w:val="99"/>
    <w:rPr>
      <w:color w:val="0000FF"/>
      <w:u w:val="single"/>
    </w:rPr>
  </w:style>
  <w:style w:type="character" w:customStyle="1" w:styleId="27">
    <w:name w:val="标题 1 字符"/>
    <w:link w:val="2"/>
    <w:autoRedefine/>
    <w:qFormat/>
    <w:uiPriority w:val="0"/>
    <w:rPr>
      <w:b/>
      <w:bCs/>
      <w:kern w:val="32"/>
      <w:sz w:val="28"/>
      <w:szCs w:val="28"/>
    </w:rPr>
  </w:style>
  <w:style w:type="character" w:customStyle="1" w:styleId="28">
    <w:name w:val="标题 2 字符"/>
    <w:link w:val="4"/>
    <w:autoRedefine/>
    <w:qFormat/>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autoRedefine/>
    <w:qFormat/>
    <w:uiPriority w:val="0"/>
    <w:rPr>
      <w:rFonts w:ascii="宋体"/>
      <w:sz w:val="21"/>
    </w:rPr>
  </w:style>
  <w:style w:type="paragraph" w:styleId="32">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autoRedefine/>
    <w:qFormat/>
    <w:uiPriority w:val="0"/>
    <w:rPr>
      <w:rFonts w:ascii="宋体" w:hAnsi="宋体" w:cs="Arial"/>
      <w:b/>
      <w:bCs/>
      <w:sz w:val="21"/>
      <w:szCs w:val="21"/>
    </w:rPr>
  </w:style>
  <w:style w:type="character" w:customStyle="1" w:styleId="34">
    <w:name w:val="批注框文本 字符"/>
    <w:link w:val="16"/>
    <w:autoRedefine/>
    <w:qFormat/>
    <w:uiPriority w:val="0"/>
    <w:rPr>
      <w:sz w:val="18"/>
      <w:szCs w:val="18"/>
      <w:lang w:val="en-GB"/>
    </w:rPr>
  </w:style>
  <w:style w:type="character" w:styleId="35">
    <w:name w:val="Placeholder Text"/>
    <w:semiHidden/>
    <w:uiPriority w:val="99"/>
    <w:rPr>
      <w:color w:val="808080"/>
    </w:rPr>
  </w:style>
  <w:style w:type="paragraph" w:styleId="36">
    <w:name w:val="No Spacing"/>
    <w:autoRedefine/>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jin\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datastoreItem>
</file>

<file path=docProps/app.xml><?xml version="1.0" encoding="utf-8"?>
<Properties xmlns="http://schemas.openxmlformats.org/officeDocument/2006/extended-properties" xmlns:vt="http://schemas.openxmlformats.org/officeDocument/2006/docPropsVTypes">
  <Template>tmp18.dotx</Template>
  <Company>ths</Company>
  <Pages>1</Pages>
  <Words>1837</Words>
  <Characters>10475</Characters>
  <Lines>87</Lines>
  <Paragraphs>24</Paragraphs>
  <TotalTime>1</TotalTime>
  <ScaleCrop>false</ScaleCrop>
  <LinksUpToDate>false</LinksUpToDate>
  <CharactersWithSpaces>12288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2023-11-21T08:01:00Z</dcterms:created>
  <dc:creator>yanjin</dc:creator>
  <cp:lastModifiedBy>迪达拉的自爆粘土</cp:lastModifiedBy>
  <cp:lastPrinted>1900-12-31T16:00:00Z</cp:lastPrinted>
  <dcterms:modified xsi:type="dcterms:W3CDTF">2024-01-05T07:50:38Z</dcterms:modified>
  <dc:title>室外风环境模拟分析报告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AB2DC9EF0C0941C3A635E3166BD397F5_12</vt:lpwstr>
  </property>
</Properties>
</file>