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r>
              <w:rPr>
                <w:rFonts w:hint="eastAsia" w:ascii="宋体" w:hAnsi="宋体"/>
                <w:szCs w:val="21"/>
                <w:lang w:val="en-US" w:eastAsia="zh-CN"/>
              </w:rPr>
              <w:t>守望--车站改造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bookmarkStart w:id="1" w:name="项目地点"/>
            <w:r>
              <w:rPr>
                <w:rFonts w:hint="eastAsia"/>
                <w:lang w:val="en-US" w:eastAsia="zh-CN"/>
              </w:rPr>
              <w:t>黑龙江</w:t>
            </w:r>
            <w:r>
              <w:t>-</w:t>
            </w:r>
            <w:bookmarkEnd w:id="1"/>
            <w:r>
              <w:rPr>
                <w:rFonts w:hint="eastAsia"/>
                <w:lang w:val="en-US" w:eastAsia="zh-CN"/>
              </w:rPr>
              <w:t>大庆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hint="default" w:ascii="宋体" w:hAnsi="宋体" w:eastAsia="宋体"/>
                <w:szCs w:val="21"/>
                <w:lang w:val="en-US" w:eastAsia="zh-CN"/>
              </w:rPr>
            </w:pPr>
            <w:bookmarkStart w:id="2" w:name="设计编号"/>
            <w:bookmarkEnd w:id="2"/>
            <w:r>
              <w:rPr>
                <w:rFonts w:hint="eastAsia" w:ascii="宋体" w:hAnsi="宋体"/>
                <w:szCs w:val="21"/>
                <w:lang w:val="en-US" w:eastAsia="zh-CN"/>
              </w:rPr>
              <w:t>BKA60093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hint="eastAsia" w:ascii="宋体" w:hAnsi="宋体" w:eastAsia="宋体"/>
                <w:szCs w:val="21"/>
                <w:lang w:val="en-US" w:eastAsia="zh-CN"/>
              </w:rPr>
            </w:pPr>
            <w:bookmarkStart w:id="4" w:name="设计单位"/>
            <w:bookmarkEnd w:id="4"/>
            <w:r>
              <w:rPr>
                <w:rFonts w:hint="eastAsia" w:ascii="宋体" w:hAnsi="宋体"/>
                <w:szCs w:val="21"/>
                <w:lang w:val="en-US" w:eastAsia="zh-CN"/>
              </w:rPr>
              <w:t>东北石油大学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严谨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鲍佳然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玄律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陈思瀚</w:t>
            </w:r>
            <w:bookmarkStart w:id="71" w:name="_GoBack"/>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2023年11月21日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T18267260651</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"_Toc151468010"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_Toc151468010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"_Toc151468011"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_Toc151468011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"_Toc151468012"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_Toc151468012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"_Toc151468013"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_Toc151468013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"_Toc151468014"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_Toc151468014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"_Toc151468015"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_Toc151468015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"_Toc151468016"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_Toc151468016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"_Toc151468017"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_Toc151468017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"_Toc151468018"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_Toc151468018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"_Toc151468019"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_Toc151468019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"_Toc151468020"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_Toc151468020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"_Toc151468021"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_Toc151468021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"_Toc151468022"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_Toc151468022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"_Toc151468023"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_Toc151468023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"_Toc151468024"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_Toc151468024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"_Toc151468025"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3层分析图</w:t>
      </w:r>
      <w:r>
        <w:tab/>
      </w:r>
      <w:r>
        <w:fldChar w:fldCharType="begin"/>
      </w:r>
      <w:r>
        <w:instrText xml:space="preserve"> PAGEREF _Toc151468025 \h </w:instrText>
      </w:r>
      <w:r>
        <w:fldChar w:fldCharType="separate"/>
      </w:r>
      <w:r>
        <w:t>12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"_Toc151468026"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_Toc151468026 \h </w:instrText>
      </w:r>
      <w:r>
        <w:fldChar w:fldCharType="separate"/>
      </w:r>
      <w:r>
        <w:t>14</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"_Toc151468027"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_Toc151468027 \h </w:instrText>
      </w:r>
      <w:r>
        <w:fldChar w:fldCharType="separate"/>
      </w:r>
      <w:r>
        <w:t>14</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9"/>
    </w:p>
    <w:p>
      <w:pPr>
        <w:pStyle w:val="2"/>
      </w:pPr>
      <w:bookmarkStart w:id="10" w:name="_Toc452108759"/>
      <w:bookmarkStart w:id="11" w:name="_Toc151468010"/>
      <w:r>
        <w:rPr>
          <w:rFonts w:hint="eastAsia"/>
        </w:rPr>
        <w:t>项目概况</w:t>
      </w:r>
      <w:bookmarkEnd w:id="10"/>
      <w:bookmarkEnd w:id="11"/>
    </w:p>
    <w:p>
      <w:pPr>
        <w:pStyle w:val="3"/>
        <w:ind w:firstLine="420"/>
        <w:rPr>
          <w:lang w:val="en-US"/>
        </w:rPr>
      </w:pPr>
      <w:bookmarkStart w:id="12" w:name="项目概况"/>
      <w:bookmarkEnd w:id="12"/>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3" w:name="_Toc452108760"/>
      <w:bookmarkStart w:id="14" w:name="_Toc151468011"/>
      <w:bookmarkStart w:id="15" w:name="平面图2"/>
      <w:r>
        <w:t>平面图</w:t>
      </w:r>
      <w:bookmarkEnd w:id="13"/>
      <w:bookmarkEnd w:id="14"/>
    </w:p>
    <w:p>
      <w:pPr>
        <w:pStyle w:val="3"/>
        <w:ind w:firstLine="0" w:firstLineChars="0"/>
        <w:jc w:val="center"/>
        <w:rPr>
          <w:lang w:val="en-US"/>
        </w:rPr>
      </w:pPr>
      <w:bookmarkStart w:id="16" w:name="平面图"/>
      <w:bookmarkEnd w:id="16"/>
      <w:r>
        <w:drawing>
          <wp:inline distT="0" distB="0" distL="0" distR="0">
            <wp:extent cx="5667375" cy="29241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29241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26193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26193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24574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24574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15716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3"/>
                    <a:stretch>
                      <a:fillRect/>
                    </a:stretch>
                  </pic:blipFill>
                  <pic:spPr>
                    <a:xfrm>
                      <a:off x="0" y="0"/>
                      <a:ext cx="5667375" cy="15716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7181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4"/>
                    <a:stretch>
                      <a:fillRect/>
                    </a:stretch>
                  </pic:blipFill>
                  <pic:spPr>
                    <a:xfrm>
                      <a:off x="0" y="0"/>
                      <a:ext cx="5667375" cy="7181850"/>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p>
    <w:bookmarkEnd w:id="15"/>
    <w:p>
      <w:pPr>
        <w:pStyle w:val="3"/>
        <w:ind w:firstLine="0" w:firstLineChars="0"/>
        <w:jc w:val="center"/>
        <w:rPr>
          <w:lang w:val="en-US"/>
        </w:rPr>
      </w:pPr>
    </w:p>
    <w:p>
      <w:pPr>
        <w:pStyle w:val="4"/>
      </w:pPr>
      <w:bookmarkStart w:id="17" w:name="_Toc452108761"/>
      <w:bookmarkStart w:id="18" w:name="_Toc151468012"/>
      <w:r>
        <w:rPr>
          <w:rFonts w:hint="eastAsia"/>
        </w:rPr>
        <w:t>三</w:t>
      </w:r>
      <w:r>
        <w:t>维视图</w:t>
      </w:r>
      <w:bookmarkEnd w:id="17"/>
      <w:bookmarkEnd w:id="18"/>
    </w:p>
    <w:p>
      <w:pPr>
        <w:pStyle w:val="3"/>
        <w:ind w:firstLine="0" w:firstLineChars="0"/>
        <w:jc w:val="center"/>
        <w:rPr>
          <w:lang w:val="en-US"/>
        </w:rPr>
      </w:pPr>
      <w:bookmarkStart w:id="19" w:name="三维视图"/>
      <w:bookmarkStart w:id="20" w:name="模型观察"/>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_Toc151468013"/>
      <w:bookmarkStart w:id="22" w:name="_Toc452108762"/>
      <w:bookmarkStart w:id="23" w:name="TitleFormat"/>
      <w:r>
        <w:rPr>
          <w:rFonts w:hint="eastAsia"/>
        </w:rPr>
        <w:t>计算</w:t>
      </w:r>
      <w:r>
        <w:t>依据</w:t>
      </w:r>
      <w:bookmarkEnd w:id="21"/>
      <w:bookmarkEnd w:id="22"/>
      <w:bookmarkEnd w:id="23"/>
    </w:p>
    <w:p>
      <w:pPr>
        <w:pStyle w:val="3"/>
        <w:ind w:firstLine="199" w:firstLineChars="95"/>
        <w:rPr>
          <w:lang w:val="en-US"/>
        </w:rPr>
      </w:pPr>
      <w:bookmarkStart w:id="24" w:name="_Toc452108763"/>
      <w:r>
        <w:rPr>
          <w:rFonts w:hint="eastAsia"/>
          <w:lang w:val="en-US"/>
        </w:rPr>
        <w:t>本项目主要参照资料为：</w:t>
      </w:r>
    </w:p>
    <w:p>
      <w:pPr>
        <w:pStyle w:val="3"/>
        <w:numPr>
          <w:ilvl w:val="0"/>
          <w:numId w:val="2"/>
        </w:numPr>
        <w:ind w:left="0" w:firstLine="200" w:firstLineChars="0"/>
        <w:rPr>
          <w:lang w:val="en-US"/>
        </w:rPr>
      </w:pPr>
      <w:bookmarkStart w:id="25" w:name="参考标准名称1"/>
      <w:r>
        <w:rPr>
          <w:rFonts w:hint="eastAsia"/>
          <w:lang w:val="en-US"/>
        </w:rPr>
        <w:t>《绿色建筑评价标准》GB/T50378-2019</w:t>
      </w:r>
      <w:bookmarkEnd w:id="25"/>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6"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6"/>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7" w:name="_Hlk13516321"/>
    </w:p>
    <w:bookmarkEnd w:id="27"/>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8" w:name="_Toc151468014"/>
      <w:r>
        <w:rPr>
          <w:rFonts w:hint="eastAsia"/>
        </w:rPr>
        <w:t>参考</w:t>
      </w:r>
      <w:r>
        <w:t>标准</w:t>
      </w:r>
      <w:bookmarkEnd w:id="24"/>
      <w:bookmarkEnd w:id="28"/>
    </w:p>
    <w:p>
      <w:pPr>
        <w:pStyle w:val="3"/>
        <w:ind w:firstLine="420"/>
        <w:rPr>
          <w:lang w:val="en-US"/>
        </w:rPr>
      </w:pPr>
      <w:bookmarkStart w:id="29" w:name="_Toc451698935"/>
      <w:bookmarkStart w:id="30" w:name="_Toc452108764"/>
      <w:r>
        <w:rPr>
          <w:rFonts w:hint="eastAsia"/>
          <w:lang w:val="en-US"/>
        </w:rPr>
        <w:t>室内热湿环境评价的主要依据为</w:t>
      </w:r>
      <w:bookmarkStart w:id="31" w:name="参考标准名称2"/>
      <w:r>
        <w:rPr>
          <w:rFonts w:hint="eastAsia"/>
          <w:lang w:val="en-US"/>
        </w:rPr>
        <w:t>《绿色建筑评价标准》GB/T50378-2019</w:t>
      </w:r>
      <w:bookmarkEnd w:id="31"/>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2" w:name="_Toc151468015"/>
      <w:r>
        <w:rPr>
          <w:rFonts w:hint="eastAsia"/>
        </w:rPr>
        <w:t>计算</w:t>
      </w:r>
      <w:bookmarkEnd w:id="29"/>
      <w:bookmarkEnd w:id="30"/>
      <w:r>
        <w:rPr>
          <w:rFonts w:hint="eastAsia"/>
        </w:rPr>
        <w:t>方法</w:t>
      </w:r>
      <w:bookmarkEnd w:id="32"/>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3" w:name="_Toc151468016"/>
      <w:r>
        <w:t>CFD</w:t>
      </w:r>
      <w:r>
        <w:rPr>
          <w:rFonts w:hint="eastAsia"/>
        </w:rPr>
        <w:t>计算原理</w:t>
      </w:r>
      <w:bookmarkEnd w:id="33"/>
    </w:p>
    <w:p>
      <w:pPr>
        <w:pStyle w:val="5"/>
      </w:pPr>
      <w:bookmarkStart w:id="34" w:name="_Toc151468017"/>
      <w:r>
        <w:rPr>
          <w:rFonts w:hint="eastAsia"/>
        </w:rPr>
        <w:t>湍流模型</w:t>
      </w:r>
      <w:bookmarkEnd w:id="34"/>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5" w:name="_Toc451698938"/>
      <w:bookmarkStart w:id="36" w:name="_Toc452108766"/>
      <w:bookmarkStart w:id="37" w:name="_Toc8151"/>
      <w:bookmarkStart w:id="38" w:name="_Toc151468018"/>
      <w:r>
        <w:rPr>
          <w:rFonts w:hint="eastAsia"/>
        </w:rPr>
        <w:t>边界条件</w:t>
      </w:r>
      <w:bookmarkEnd w:id="35"/>
      <w:bookmarkEnd w:id="36"/>
      <w:bookmarkEnd w:id="37"/>
      <w:bookmarkEnd w:id="38"/>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39" w:name="_Toc451698939"/>
      <w:bookmarkStart w:id="40" w:name="_Toc23583"/>
      <w:bookmarkStart w:id="41" w:name="_Toc151468019"/>
      <w:bookmarkStart w:id="42" w:name="_Toc452108767"/>
      <w:r>
        <w:rPr>
          <w:rFonts w:hint="eastAsia"/>
        </w:rPr>
        <w:t>求解计算</w:t>
      </w:r>
      <w:bookmarkEnd w:id="39"/>
      <w:bookmarkEnd w:id="40"/>
      <w:bookmarkEnd w:id="41"/>
      <w:bookmarkEnd w:id="42"/>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3"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3"/>
      <w:r>
        <w:rPr>
          <w:rFonts w:hint="eastAsia" w:ascii="微软雅黑" w:hAnsi="微软雅黑" w:eastAsia="微软雅黑"/>
          <w:b/>
        </w:rPr>
        <w:t xml:space="preserve"> </w:t>
      </w:r>
      <w:bookmarkStart w:id="44" w:name="_Ref225175618"/>
      <w:r>
        <w:rPr>
          <w:rFonts w:hint="eastAsia" w:ascii="微软雅黑" w:hAnsi="微软雅黑" w:eastAsia="微软雅黑"/>
          <w:b/>
        </w:rPr>
        <w:t>计算流体力学的控制方程</w:t>
      </w:r>
      <w:bookmarkEnd w:id="44"/>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5" w:name="_Toc151468020"/>
      <w:r>
        <w:rPr>
          <w:rFonts w:hint="eastAsia"/>
        </w:rPr>
        <w:t>热湿环境评价</w:t>
      </w:r>
      <w:r>
        <w:t>指标</w:t>
      </w:r>
      <w:r>
        <w:rPr>
          <w:rFonts w:hint="eastAsia"/>
        </w:rPr>
        <w:t>计算</w:t>
      </w:r>
      <w:bookmarkEnd w:id="45"/>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6" w:name="_Hlk13601794"/>
      <w:r>
        <w:rPr>
          <w:rFonts w:hint="eastAsia"/>
          <w:lang w:val="en-US"/>
        </w:rPr>
        <w:t>本项目采用《民用建筑室内热湿环境评价标准》GB/T 50785-2012中所示的计算程序完成上述PMV的计算。</w:t>
      </w:r>
    </w:p>
    <w:p>
      <w:pPr>
        <w:pStyle w:val="5"/>
      </w:pPr>
      <w:bookmarkStart w:id="47" w:name="_Toc151468021"/>
      <w:r>
        <w:t>PMV</w:t>
      </w:r>
      <w:r>
        <w:rPr>
          <w:rFonts w:hint="eastAsia"/>
        </w:rPr>
        <w:t>计算公式</w:t>
      </w:r>
      <w:bookmarkEnd w:id="47"/>
    </w:p>
    <w:bookmarkEnd w:id="46"/>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8" w:name="_Toc151468022"/>
      <w:r>
        <w:t>PPD</w:t>
      </w:r>
      <w:r>
        <w:rPr>
          <w:rFonts w:hint="eastAsia"/>
        </w:rPr>
        <w:t>计算公式</w:t>
      </w:r>
      <w:bookmarkEnd w:id="48"/>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9" w:name="_Toc151468023"/>
      <w:r>
        <w:rPr>
          <w:rFonts w:hint="eastAsia"/>
        </w:rPr>
        <w:t>PMV和PPD达标比例计算</w:t>
      </w:r>
      <w:bookmarkEnd w:id="49"/>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0" w:name="_Toc452108768"/>
      <w:bookmarkStart w:id="51" w:name="_Toc3745"/>
      <w:bookmarkStart w:id="52" w:name="_Toc151468024"/>
      <w:r>
        <w:rPr>
          <w:rFonts w:hint="eastAsia"/>
        </w:rPr>
        <w:t>结果</w:t>
      </w:r>
      <w:r>
        <w:t>分析</w:t>
      </w:r>
      <w:bookmarkEnd w:id="50"/>
      <w:bookmarkEnd w:id="51"/>
      <w:bookmarkEnd w:id="52"/>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3"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3层</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3"/>
    </w:tbl>
    <w:p>
      <w:pPr>
        <w:pStyle w:val="3"/>
        <w:ind w:firstLine="0" w:firstLineChars="0"/>
      </w:pPr>
    </w:p>
    <w:p>
      <w:pPr>
        <w:pStyle w:val="4"/>
      </w:pPr>
      <w:bookmarkStart w:id="54" w:name="分析对象名称"/>
      <w:bookmarkStart w:id="55" w:name="_Toc151468025"/>
      <w:r>
        <w:t>3层分析图</w:t>
      </w:r>
      <w:bookmarkEnd w:id="54"/>
      <w:bookmarkEnd w:id="55"/>
      <w:bookmarkStart w:id="56" w:name="_Toc451436145"/>
      <w:bookmarkStart w:id="57" w:name="_Toc451698937"/>
      <w:bookmarkStart w:id="58" w:name="_Toc452108765"/>
    </w:p>
    <w:p>
      <w:pPr>
        <w:pStyle w:val="3"/>
        <w:ind w:firstLine="420"/>
        <w:jc w:val="center"/>
        <w:rPr>
          <w:lang w:val="en-US"/>
        </w:rPr>
      </w:pPr>
      <w:bookmarkStart w:id="59" w:name="温度场分布"/>
      <w:bookmarkEnd w:id="59"/>
      <w:r>
        <w:drawing>
          <wp:inline distT="0" distB="0" distL="0" distR="0">
            <wp:extent cx="5667375" cy="3752850"/>
            <wp:effectExtent l="0" t="0" r="0" b="0"/>
            <wp:docPr id="721620130" name="图片 72162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20130" name="图片 721620130"/>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60" w:name="速度云图"/>
      <w:bookmarkEnd w:id="60"/>
      <w:r>
        <w:drawing>
          <wp:inline distT="0" distB="0" distL="0" distR="0">
            <wp:extent cx="5667375" cy="3752850"/>
            <wp:effectExtent l="0" t="0" r="0" b="0"/>
            <wp:docPr id="1224556553" name="图片 122455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56553" name="图片 1224556553"/>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61" w:name="PMV分布"/>
      <w:bookmarkEnd w:id="61"/>
      <w:r>
        <w:drawing>
          <wp:inline distT="0" distB="0" distL="0" distR="0">
            <wp:extent cx="5667375" cy="3752850"/>
            <wp:effectExtent l="0" t="0" r="0" b="0"/>
            <wp:docPr id="941450258" name="图片 94145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50258" name="图片 941450258"/>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56"/>
    <w:bookmarkEnd w:id="57"/>
    <w:bookmarkEnd w:id="58"/>
    <w:p>
      <w:pPr>
        <w:pStyle w:val="3"/>
        <w:ind w:firstLine="420"/>
        <w:jc w:val="center"/>
        <w:rPr>
          <w:lang w:val="en-US"/>
        </w:rPr>
      </w:pPr>
      <w:bookmarkStart w:id="62" w:name="PPD分布"/>
      <w:bookmarkEnd w:id="62"/>
      <w:r>
        <w:drawing>
          <wp:inline distT="0" distB="0" distL="0" distR="0">
            <wp:extent cx="5667375" cy="3752850"/>
            <wp:effectExtent l="0" t="0" r="0" b="0"/>
            <wp:docPr id="82392997" name="图片 8239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2997" name="图片 82392997"/>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3" w:name="LPD1分布"/>
      <w:bookmarkEnd w:id="63"/>
    </w:p>
    <w:p>
      <w:pPr>
        <w:pStyle w:val="3"/>
        <w:ind w:firstLine="420"/>
        <w:jc w:val="center"/>
      </w:pPr>
    </w:p>
    <w:p>
      <w:pPr>
        <w:pStyle w:val="3"/>
        <w:ind w:firstLine="0" w:firstLineChars="0"/>
        <w:rPr>
          <w:lang w:val="en-US"/>
        </w:rPr>
      </w:pPr>
      <w:bookmarkStart w:id="64" w:name="结果分析"/>
      <w:bookmarkEnd w:id="64"/>
    </w:p>
    <w:p>
      <w:pPr>
        <w:pStyle w:val="4"/>
      </w:pPr>
      <w:bookmarkStart w:id="65" w:name="_Toc151468026"/>
      <w:r>
        <w:rPr>
          <w:rFonts w:hint="eastAsia"/>
        </w:rPr>
        <w:t>室内PMV与PPD达标比例统计</w:t>
      </w:r>
      <w:bookmarkEnd w:id="65"/>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3"/>
        <w:ind w:firstLine="0" w:firstLineChars="0"/>
        <w:jc w:val="center"/>
        <w:rPr>
          <w:rFonts w:ascii="宋体" w:hAnsi="宋体" w:cs="宋体"/>
          <w:b/>
          <w:bCs/>
          <w:color w:val="333333"/>
          <w:sz w:val="24"/>
          <w:szCs w:val="22"/>
          <w:lang w:val="en-US"/>
        </w:rPr>
      </w:pPr>
      <w:bookmarkStart w:id="66" w:name="统计计算表表头"/>
      <w:r>
        <w:rPr>
          <w:rFonts w:hint="eastAsia" w:ascii="微软雅黑" w:hAnsi="微软雅黑" w:eastAsia="微软雅黑"/>
          <w:b/>
        </w:rPr>
        <w:t>表6.1-2 建筑主要功能房间以及每套住宅PMV-PPD整体评价指标</w:t>
      </w:r>
      <w:bookmarkEnd w:id="66"/>
    </w:p>
    <w:p>
      <w:pPr>
        <w:spacing w:after="120"/>
        <w:rPr>
          <w:rFonts w:ascii="宋体" w:hAnsi="宋体" w:cs="宋体"/>
          <w:b/>
          <w:bCs/>
          <w:color w:val="333333"/>
          <w:sz w:val="24"/>
          <w:szCs w:val="22"/>
          <w:lang w:val="en-US"/>
        </w:rPr>
      </w:pPr>
      <w:bookmarkStart w:id="67" w:name="达标统计表"/>
      <w:bookmarkEnd w:id="67"/>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8" w:name="_Toc151468027"/>
      <w:r>
        <w:rPr>
          <w:rFonts w:hint="eastAsia"/>
        </w:rPr>
        <w:t>结论</w:t>
      </w:r>
      <w:bookmarkEnd w:id="68"/>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9" w:name="达标百分比"/>
      <w:r>
        <w:rPr>
          <w:rFonts w:hint="eastAsia"/>
          <w:lang w:val="en-US"/>
        </w:rPr>
        <w:t>75.75%</w:t>
      </w:r>
      <w:bookmarkEnd w:id="69"/>
      <w:r>
        <w:rPr>
          <w:rFonts w:hint="eastAsia"/>
          <w:lang w:val="en-US"/>
        </w:rPr>
        <w:t>，根据绿标5.2.9，应得</w:t>
      </w:r>
      <w:bookmarkStart w:id="70" w:name="得分"/>
      <w:r>
        <w:rPr>
          <w:rFonts w:hint="eastAsia"/>
          <w:lang w:val="en-US"/>
        </w:rPr>
        <w:t>6</w:t>
      </w:r>
      <w:bookmarkEnd w:id="70"/>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ODY5OTU1NzdkODQ0M2ViMTM0MzRjZjE3NzFiZTIifQ=="/>
  </w:docVars>
  <w:rsids>
    <w:rsidRoot w:val="00CD420F"/>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4ED9"/>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D420F"/>
    <w:rsid w:val="00CE1A11"/>
    <w:rsid w:val="00CE28AA"/>
    <w:rsid w:val="00CE6B55"/>
    <w:rsid w:val="00CF109A"/>
    <w:rsid w:val="00CF421E"/>
    <w:rsid w:val="00CF5D4D"/>
    <w:rsid w:val="00CF6330"/>
    <w:rsid w:val="00D13ABE"/>
    <w:rsid w:val="00D15403"/>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23F4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autoRedefine/>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autoRedefine/>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autoRedefine/>
    <w:qFormat/>
    <w:uiPriority w:val="0"/>
    <w:rPr>
      <w:b/>
      <w:bCs/>
      <w:iCs/>
      <w:sz w:val="21"/>
      <w:szCs w:val="26"/>
      <w:lang w:val="en-GB"/>
    </w:rPr>
  </w:style>
  <w:style w:type="character" w:customStyle="1" w:styleId="39">
    <w:name w:val="标题 6 字符"/>
    <w:link w:val="8"/>
    <w:autoRedefine/>
    <w:qFormat/>
    <w:uiPriority w:val="0"/>
    <w:rPr>
      <w:b/>
      <w:bCs/>
      <w:sz w:val="21"/>
      <w:szCs w:val="22"/>
      <w:lang w:val="en-GB"/>
    </w:rPr>
  </w:style>
  <w:style w:type="character" w:customStyle="1" w:styleId="40">
    <w:name w:val="标题 7 字符"/>
    <w:link w:val="9"/>
    <w:autoRedefine/>
    <w:qFormat/>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autoRedefine/>
    <w:qFormat/>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numbering" Target="numbering.xml"/><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jin\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tmp19.dotx</Template>
  <Company>ths</Company>
  <Pages>15</Pages>
  <Words>748</Words>
  <Characters>4268</Characters>
  <Lines>35</Lines>
  <Paragraphs>10</Paragraphs>
  <TotalTime>0</TotalTime>
  <ScaleCrop>false</ScaleCrop>
  <LinksUpToDate>false</LinksUpToDate>
  <CharactersWithSpaces>5006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2023-11-21T06:06:00Z</dcterms:created>
  <dc:creator>yanjin</dc:creator>
  <cp:lastModifiedBy>迪达拉的自爆粘土</cp:lastModifiedBy>
  <cp:lastPrinted>1900-12-31T16:00:00Z</cp:lastPrinted>
  <dcterms:modified xsi:type="dcterms:W3CDTF">2024-01-05T07:43:43Z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6B9CBBE4E2104BF9A629ED99A3F5E405_12</vt:lpwstr>
  </property>
</Properties>
</file>