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r>
        <w:rPr>
          <w:rFonts w:hint="eastAsia" w:cs="宋体"/>
          <w:b/>
          <w:bCs/>
          <w:color w:val="000000"/>
          <w:sz w:val="32"/>
          <w:szCs w:val="32"/>
          <w:u w:val="single"/>
        </w:rPr>
        <w:t>守望--车站改造</w:t>
      </w:r>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bookmarkStart w:id="29" w:name="_GoBack"/>
      <w:bookmarkEnd w:id="29"/>
      <w:r>
        <w:rPr>
          <w:rFonts w:cs="宋体"/>
          <w:b/>
          <w:bCs/>
          <w:color w:val="000000"/>
          <w:sz w:val="32"/>
          <w:szCs w:val="32"/>
          <w:u w:val="single"/>
        </w:rPr>
        <w:t xml:space="preserve">  </w:t>
      </w:r>
      <w:r>
        <w:rPr>
          <w:rFonts w:hint="eastAsia" w:cs="宋体"/>
          <w:b/>
          <w:bCs/>
          <w:color w:val="000000"/>
          <w:sz w:val="32"/>
          <w:szCs w:val="32"/>
          <w:u w:val="single"/>
          <w:lang w:val="en-US" w:eastAsia="zh-CN"/>
        </w:rPr>
        <w:t>东北石油大学</w:t>
      </w:r>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2023年11月20日</w:t>
      </w:r>
      <w:bookmarkEnd w:id="3"/>
    </w:p>
    <w:p>
      <w:pPr>
        <w:jc w:val="center"/>
        <w:rPr>
          <w:rFonts w:cs="宋体"/>
          <w:b/>
          <w:bCs/>
          <w:color w:val="000000"/>
          <w:sz w:val="32"/>
          <w:szCs w:val="32"/>
        </w:rPr>
      </w:pPr>
    </w:p>
    <w:p>
      <w:pPr>
        <w:jc w:val="center"/>
        <w:rPr>
          <w:rFonts w:cs="宋体"/>
          <w:b/>
          <w:bCs/>
          <w:color w:val="000000"/>
          <w:sz w:val="32"/>
          <w:szCs w:val="32"/>
        </w:rPr>
      </w:pPr>
    </w:p>
    <w:p>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6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pPr>
              <w:jc w:val="center"/>
            </w:pPr>
            <w:r>
              <w:t>编号</w:t>
            </w:r>
          </w:p>
        </w:tc>
        <w:tc>
          <w:tcPr>
            <w:tcW w:w="2140" w:type="dxa"/>
            <w:vAlign w:val="center"/>
          </w:tcPr>
          <w:p>
            <w:pPr>
              <w:jc w:val="center"/>
            </w:pPr>
            <w:r>
              <w:t>使用性质</w:t>
            </w:r>
          </w:p>
        </w:tc>
        <w:tc>
          <w:tcPr>
            <w:tcW w:w="2140" w:type="dxa"/>
            <w:vAlign w:val="center"/>
          </w:tcPr>
          <w:p>
            <w:pPr>
              <w:jc w:val="center"/>
            </w:pPr>
            <w:r>
              <w:t>层数</w:t>
            </w:r>
          </w:p>
        </w:tc>
        <w:tc>
          <w:tcPr>
            <w:tcW w:w="2140" w:type="dxa"/>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pPr>
              <w:jc w:val="center"/>
            </w:pPr>
            <w:r>
              <w:t>2</w:t>
            </w:r>
          </w:p>
        </w:tc>
        <w:tc>
          <w:tcPr>
            <w:tcW w:w="2140" w:type="dxa"/>
            <w:vAlign w:val="center"/>
          </w:tcPr>
          <w:p>
            <w:pPr>
              <w:jc w:val="center"/>
            </w:pPr>
          </w:p>
        </w:tc>
        <w:tc>
          <w:tcPr>
            <w:tcW w:w="2140" w:type="dxa"/>
            <w:vAlign w:val="center"/>
          </w:tcPr>
          <w:p>
            <w:pPr>
              <w:jc w:val="center"/>
            </w:pPr>
          </w:p>
        </w:tc>
        <w:tc>
          <w:tcPr>
            <w:tcW w:w="2140" w:type="dxa"/>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pPr>
              <w:jc w:val="center"/>
            </w:pPr>
            <w:r>
              <w:t>3</w:t>
            </w:r>
          </w:p>
        </w:tc>
        <w:tc>
          <w:tcPr>
            <w:tcW w:w="2140" w:type="dxa"/>
            <w:vAlign w:val="center"/>
          </w:tcPr>
          <w:p>
            <w:pPr>
              <w:jc w:val="center"/>
            </w:pPr>
          </w:p>
        </w:tc>
        <w:tc>
          <w:tcPr>
            <w:tcW w:w="2140" w:type="dxa"/>
            <w:vAlign w:val="center"/>
          </w:tcPr>
          <w:p>
            <w:pPr>
              <w:jc w:val="center"/>
            </w:pPr>
          </w:p>
        </w:tc>
        <w:tc>
          <w:tcPr>
            <w:tcW w:w="2140" w:type="dxa"/>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pPr>
              <w:jc w:val="center"/>
            </w:pPr>
            <w:r>
              <w:t>4</w:t>
            </w:r>
          </w:p>
        </w:tc>
        <w:tc>
          <w:tcPr>
            <w:tcW w:w="2140" w:type="dxa"/>
            <w:vAlign w:val="center"/>
          </w:tcPr>
          <w:p>
            <w:pPr>
              <w:jc w:val="center"/>
            </w:pPr>
          </w:p>
        </w:tc>
        <w:tc>
          <w:tcPr>
            <w:tcW w:w="2140" w:type="dxa"/>
            <w:vAlign w:val="center"/>
          </w:tcPr>
          <w:p>
            <w:pPr>
              <w:jc w:val="center"/>
            </w:pPr>
          </w:p>
        </w:tc>
        <w:tc>
          <w:tcPr>
            <w:tcW w:w="2140" w:type="dxa"/>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pPr>
              <w:jc w:val="center"/>
            </w:pPr>
            <w:r>
              <w:t>5</w:t>
            </w:r>
          </w:p>
        </w:tc>
        <w:tc>
          <w:tcPr>
            <w:tcW w:w="2140" w:type="dxa"/>
            <w:vAlign w:val="center"/>
          </w:tcPr>
          <w:p>
            <w:pPr>
              <w:jc w:val="center"/>
            </w:pPr>
          </w:p>
        </w:tc>
        <w:tc>
          <w:tcPr>
            <w:tcW w:w="2140" w:type="dxa"/>
            <w:vAlign w:val="center"/>
          </w:tcPr>
          <w:p>
            <w:pPr>
              <w:jc w:val="center"/>
            </w:pPr>
          </w:p>
        </w:tc>
        <w:tc>
          <w:tcPr>
            <w:tcW w:w="2140" w:type="dxa"/>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pPr>
              <w:jc w:val="center"/>
            </w:pPr>
            <w:r>
              <w:t>6</w:t>
            </w:r>
          </w:p>
        </w:tc>
        <w:tc>
          <w:tcPr>
            <w:tcW w:w="2140" w:type="dxa"/>
            <w:vAlign w:val="center"/>
          </w:tcPr>
          <w:p>
            <w:pPr>
              <w:jc w:val="center"/>
            </w:pPr>
          </w:p>
        </w:tc>
        <w:tc>
          <w:tcPr>
            <w:tcW w:w="2140" w:type="dxa"/>
            <w:vAlign w:val="center"/>
          </w:tcPr>
          <w:p>
            <w:pPr>
              <w:jc w:val="center"/>
            </w:pPr>
          </w:p>
        </w:tc>
        <w:tc>
          <w:tcPr>
            <w:tcW w:w="2140" w:type="dxa"/>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pPr>
              <w:jc w:val="center"/>
            </w:pPr>
            <w:r>
              <w:t>7</w:t>
            </w:r>
          </w:p>
        </w:tc>
        <w:tc>
          <w:tcPr>
            <w:tcW w:w="2140" w:type="dxa"/>
            <w:vAlign w:val="center"/>
          </w:tcPr>
          <w:p>
            <w:pPr>
              <w:jc w:val="center"/>
            </w:pPr>
          </w:p>
        </w:tc>
        <w:tc>
          <w:tcPr>
            <w:tcW w:w="2140" w:type="dxa"/>
            <w:vAlign w:val="center"/>
          </w:tcPr>
          <w:p>
            <w:pPr>
              <w:jc w:val="center"/>
            </w:pPr>
          </w:p>
        </w:tc>
        <w:tc>
          <w:tcPr>
            <w:tcW w:w="2140" w:type="dxa"/>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pPr>
              <w:jc w:val="center"/>
            </w:pPr>
            <w:r>
              <w:t>8</w:t>
            </w:r>
          </w:p>
        </w:tc>
        <w:tc>
          <w:tcPr>
            <w:tcW w:w="2140" w:type="dxa"/>
            <w:vAlign w:val="center"/>
          </w:tcPr>
          <w:p>
            <w:pPr>
              <w:jc w:val="center"/>
            </w:pPr>
          </w:p>
        </w:tc>
        <w:tc>
          <w:tcPr>
            <w:tcW w:w="2140" w:type="dxa"/>
            <w:vAlign w:val="center"/>
          </w:tcPr>
          <w:p>
            <w:pPr>
              <w:jc w:val="center"/>
            </w:pPr>
          </w:p>
        </w:tc>
        <w:tc>
          <w:tcPr>
            <w:tcW w:w="2140" w:type="dxa"/>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pPr>
              <w:jc w:val="center"/>
            </w:pPr>
            <w:r>
              <w:t>9</w:t>
            </w:r>
          </w:p>
        </w:tc>
        <w:tc>
          <w:tcPr>
            <w:tcW w:w="2140" w:type="dxa"/>
            <w:vAlign w:val="center"/>
          </w:tcPr>
          <w:p>
            <w:pPr>
              <w:jc w:val="center"/>
            </w:pPr>
          </w:p>
        </w:tc>
        <w:tc>
          <w:tcPr>
            <w:tcW w:w="2140" w:type="dxa"/>
            <w:vAlign w:val="center"/>
          </w:tcPr>
          <w:p>
            <w:pPr>
              <w:jc w:val="center"/>
            </w:pPr>
          </w:p>
        </w:tc>
        <w:tc>
          <w:tcPr>
            <w:tcW w:w="2140" w:type="dxa"/>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pPr>
              <w:jc w:val="center"/>
            </w:pPr>
            <w:r>
              <w:t>10</w:t>
            </w:r>
          </w:p>
        </w:tc>
        <w:tc>
          <w:tcPr>
            <w:tcW w:w="2140" w:type="dxa"/>
            <w:vAlign w:val="center"/>
          </w:tcPr>
          <w:p>
            <w:pPr>
              <w:jc w:val="center"/>
            </w:pPr>
          </w:p>
        </w:tc>
        <w:tc>
          <w:tcPr>
            <w:tcW w:w="2140" w:type="dxa"/>
            <w:vAlign w:val="center"/>
          </w:tcPr>
          <w:p>
            <w:pPr>
              <w:jc w:val="center"/>
            </w:pPr>
          </w:p>
        </w:tc>
        <w:tc>
          <w:tcPr>
            <w:tcW w:w="2140" w:type="dxa"/>
            <w:vAlign w:val="center"/>
          </w:tcPr>
          <w:p>
            <w:pPr>
              <w:jc w:val="center"/>
            </w:pPr>
            <w:r>
              <w:t>6.0</w:t>
            </w:r>
          </w:p>
        </w:tc>
      </w:tr>
    </w:tbl>
    <w:p/>
    <w:p>
      <w:pPr>
        <w:spacing w:line="440" w:lineRule="exact"/>
        <w:rPr>
          <w:rFonts w:ascii="宋体" w:hAnsi="宋体" w:cs="宋体"/>
          <w:b/>
          <w:bCs/>
          <w:color w:val="000000"/>
          <w:sz w:val="24"/>
          <w:szCs w:val="32"/>
        </w:rPr>
      </w:pPr>
      <w:bookmarkStart w:id="22" w:name="基地内拟建建筑"/>
      <w:bookmarkEnd w:id="22"/>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w:t>
      </w:r>
      <w:r>
        <w:rPr>
          <w:rFonts w:ascii="黑体" w:hAnsi="宋体" w:eastAsia="黑体"/>
          <w:sz w:val="24"/>
          <w:szCs w:val="24"/>
        </w:rPr>
        <w:t>2018</w:t>
      </w:r>
      <w:r>
        <w:rPr>
          <w:rFonts w:hint="eastAsia" w:ascii="黑体" w:hAnsi="宋体" w:eastAsia="黑体"/>
          <w:sz w:val="24"/>
          <w:szCs w:val="24"/>
        </w:rPr>
        <w:t>）的条文</w:t>
      </w:r>
    </w:p>
    <w:p>
      <w:pPr>
        <w:spacing w:line="440" w:lineRule="exact"/>
        <w:ind w:firstLine="105" w:firstLineChars="50"/>
        <w:rPr>
          <w:rFonts w:ascii="宋体" w:hAnsi="宋体"/>
          <w:b/>
        </w:rPr>
      </w:pPr>
      <w:r>
        <w:rPr>
          <w:rFonts w:ascii="宋体" w:hAnsi="宋体"/>
          <w:b/>
        </w:rPr>
        <w:t>4.0.9 住宅建筑的间距应符合表4.0.9的规定；对特定情况，还应符合下列规定：</w:t>
      </w:r>
    </w:p>
    <w:p>
      <w:pPr>
        <w:numPr>
          <w:ilvl w:val="0"/>
          <w:numId w:val="1"/>
        </w:numPr>
        <w:tabs>
          <w:tab w:val="left" w:pos="567"/>
          <w:tab w:val="clear" w:pos="720"/>
        </w:tabs>
        <w:spacing w:line="440" w:lineRule="exact"/>
        <w:ind w:left="567" w:hanging="567"/>
        <w:rPr>
          <w:rFonts w:ascii="宋体" w:hAnsi="宋体"/>
        </w:rPr>
      </w:pPr>
      <w:r>
        <w:rPr>
          <w:rFonts w:ascii="宋体" w:hAnsi="宋体"/>
        </w:rPr>
        <w:t>老年人居住建筑日照标准不应低于冬至日日照时数2</w:t>
      </w:r>
      <w:r>
        <w:rPr>
          <w:rFonts w:hint="eastAsia" w:ascii="宋体" w:hAnsi="宋体"/>
        </w:rPr>
        <w:t>h</w:t>
      </w:r>
      <w:r>
        <w:rPr>
          <w:rFonts w:ascii="宋体" w:hAnsi="宋体"/>
        </w:rPr>
        <w:t>；</w:t>
      </w:r>
    </w:p>
    <w:p>
      <w:pPr>
        <w:numPr>
          <w:ilvl w:val="0"/>
          <w:numId w:val="1"/>
        </w:numPr>
        <w:tabs>
          <w:tab w:val="left" w:pos="567"/>
          <w:tab w:val="clear" w:pos="720"/>
        </w:tabs>
        <w:spacing w:line="440" w:lineRule="exact"/>
        <w:ind w:left="567" w:hanging="567"/>
        <w:rPr>
          <w:rFonts w:ascii="宋体" w:hAnsi="宋体"/>
        </w:rPr>
      </w:pPr>
      <w:r>
        <w:rPr>
          <w:rFonts w:ascii="宋体" w:hAnsi="宋体"/>
        </w:rPr>
        <w:t>在原设计建筑外增加任何设施不应使相邻住宅原有日照标准降低，既有住宅建筑进行无障碍改造加装电梯除外；</w:t>
      </w:r>
    </w:p>
    <w:p>
      <w:pPr>
        <w:numPr>
          <w:ilvl w:val="0"/>
          <w:numId w:val="1"/>
        </w:numPr>
        <w:tabs>
          <w:tab w:val="left" w:pos="567"/>
          <w:tab w:val="clear" w:pos="720"/>
        </w:tabs>
        <w:spacing w:line="440" w:lineRule="exact"/>
        <w:ind w:left="567" w:hanging="567"/>
        <w:rPr>
          <w:rFonts w:ascii="宋体" w:hAnsi="宋体"/>
        </w:rPr>
      </w:pPr>
      <w:r>
        <w:rPr>
          <w:rFonts w:ascii="宋体" w:hAnsi="宋体"/>
        </w:rPr>
        <w:t>旧区改建项目内新建住宅建筑日照标准不应低于大寒日日照时数1h。</w:t>
      </w:r>
    </w:p>
    <w:p>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建筑气候区划</w:t>
            </w:r>
          </w:p>
        </w:tc>
        <w:tc>
          <w:tcPr>
            <w:tcW w:w="1721" w:type="pct"/>
            <w:gridSpan w:val="2"/>
            <w:vAlign w:val="center"/>
          </w:tcPr>
          <w:p>
            <w:pPr>
              <w:jc w:val="center"/>
              <w:rPr>
                <w:rFonts w:ascii="宋体" w:hAnsi="宋体"/>
                <w:szCs w:val="22"/>
              </w:rPr>
            </w:pPr>
            <w:r>
              <w:rPr>
                <w:rFonts w:ascii="宋体" w:hAnsi="宋体"/>
                <w:szCs w:val="22"/>
              </w:rPr>
              <w:t>Ⅰ、Ⅱ、Ⅲ、VII气候区</w:t>
            </w:r>
          </w:p>
        </w:tc>
        <w:tc>
          <w:tcPr>
            <w:tcW w:w="924" w:type="pct"/>
            <w:gridSpan w:val="2"/>
            <w:vAlign w:val="center"/>
          </w:tcPr>
          <w:p>
            <w:pPr>
              <w:jc w:val="center"/>
              <w:rPr>
                <w:rFonts w:ascii="宋体" w:hAnsi="宋体"/>
                <w:szCs w:val="22"/>
              </w:rPr>
            </w:pPr>
            <w:r>
              <w:rPr>
                <w:rFonts w:ascii="宋体" w:hAnsi="宋体"/>
                <w:szCs w:val="22"/>
              </w:rPr>
              <w:t>Ⅳ气候区</w:t>
            </w:r>
          </w:p>
        </w:tc>
        <w:tc>
          <w:tcPr>
            <w:tcW w:w="1014" w:type="pct"/>
            <w:vAlign w:val="center"/>
          </w:tcPr>
          <w:p>
            <w:pPr>
              <w:jc w:val="center"/>
              <w:rPr>
                <w:rFonts w:ascii="宋体" w:hAnsi="宋体"/>
                <w:szCs w:val="22"/>
              </w:rPr>
            </w:pPr>
            <w:r>
              <w:rPr>
                <w:rFonts w:ascii="宋体" w:hAnsi="宋体"/>
                <w:szCs w:val="22"/>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城区常住人口</w:t>
            </w:r>
            <w:r>
              <w:rPr>
                <w:rFonts w:hint="eastAsia" w:ascii="宋体" w:hAnsi="宋体"/>
                <w:szCs w:val="22"/>
              </w:rPr>
              <w:t>(万人</w:t>
            </w:r>
            <w:r>
              <w:rPr>
                <w:rFonts w:ascii="宋体" w:hAnsi="宋体"/>
                <w:szCs w:val="22"/>
              </w:rPr>
              <w:t>)</w:t>
            </w:r>
          </w:p>
        </w:tc>
        <w:tc>
          <w:tcPr>
            <w:tcW w:w="893" w:type="pct"/>
            <w:vAlign w:val="center"/>
          </w:tcPr>
          <w:p>
            <w:pPr>
              <w:jc w:val="center"/>
              <w:rPr>
                <w:rFonts w:ascii="宋体" w:hAnsi="宋体"/>
                <w:szCs w:val="22"/>
              </w:rPr>
            </w:pPr>
            <w:r>
              <w:rPr>
                <w:rFonts w:ascii="宋体" w:hAnsi="宋体"/>
                <w:szCs w:val="22"/>
              </w:rPr>
              <w:t>≥50</w:t>
            </w:r>
          </w:p>
        </w:tc>
        <w:tc>
          <w:tcPr>
            <w:tcW w:w="829" w:type="pct"/>
            <w:vAlign w:val="center"/>
          </w:tcPr>
          <w:p>
            <w:pPr>
              <w:jc w:val="center"/>
              <w:rPr>
                <w:rFonts w:ascii="宋体" w:hAnsi="宋体"/>
                <w:szCs w:val="22"/>
              </w:rPr>
            </w:pPr>
            <w:r>
              <w:rPr>
                <w:rFonts w:hint="eastAsia" w:ascii="宋体" w:hAnsi="宋体"/>
                <w:szCs w:val="22"/>
              </w:rPr>
              <w:t>＜5</w:t>
            </w:r>
            <w:r>
              <w:rPr>
                <w:rFonts w:ascii="宋体" w:hAnsi="宋体"/>
                <w:szCs w:val="22"/>
              </w:rPr>
              <w:t>0</w:t>
            </w:r>
          </w:p>
        </w:tc>
        <w:tc>
          <w:tcPr>
            <w:tcW w:w="462" w:type="pct"/>
            <w:vAlign w:val="center"/>
          </w:tcPr>
          <w:p>
            <w:pPr>
              <w:jc w:val="center"/>
              <w:rPr>
                <w:rFonts w:ascii="宋体" w:hAnsi="宋体"/>
                <w:szCs w:val="22"/>
              </w:rPr>
            </w:pPr>
            <w:r>
              <w:rPr>
                <w:rFonts w:ascii="宋体" w:hAnsi="宋体"/>
                <w:szCs w:val="22"/>
              </w:rPr>
              <w:t>≥50</w:t>
            </w:r>
          </w:p>
        </w:tc>
        <w:tc>
          <w:tcPr>
            <w:tcW w:w="462" w:type="pct"/>
            <w:vAlign w:val="center"/>
          </w:tcPr>
          <w:p>
            <w:pPr>
              <w:jc w:val="center"/>
              <w:rPr>
                <w:rFonts w:ascii="宋体" w:hAnsi="宋体" w:cs="Arial Unicode MS"/>
                <w:szCs w:val="21"/>
              </w:rPr>
            </w:pPr>
            <w:r>
              <w:rPr>
                <w:rFonts w:hint="eastAsia" w:ascii="宋体" w:hAnsi="宋体"/>
                <w:szCs w:val="21"/>
              </w:rPr>
              <w:t>＜5</w:t>
            </w:r>
            <w:r>
              <w:rPr>
                <w:rFonts w:ascii="宋体" w:hAnsi="宋体"/>
                <w:szCs w:val="21"/>
              </w:rPr>
              <w:t>0</w:t>
            </w:r>
          </w:p>
        </w:tc>
        <w:tc>
          <w:tcPr>
            <w:tcW w:w="1014" w:type="pct"/>
            <w:vAlign w:val="center"/>
          </w:tcPr>
          <w:p>
            <w:pPr>
              <w:jc w:val="center"/>
              <w:rPr>
                <w:rFonts w:ascii="宋体" w:hAnsi="宋体"/>
                <w:szCs w:val="22"/>
              </w:rPr>
            </w:pPr>
            <w:r>
              <w:rPr>
                <w:rFonts w:ascii="宋体" w:hAnsi="宋体"/>
                <w:szCs w:val="22"/>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日照标准日</w:t>
            </w:r>
          </w:p>
        </w:tc>
        <w:tc>
          <w:tcPr>
            <w:tcW w:w="2183" w:type="pct"/>
            <w:gridSpan w:val="3"/>
            <w:vAlign w:val="center"/>
          </w:tcPr>
          <w:p>
            <w:pPr>
              <w:jc w:val="center"/>
              <w:rPr>
                <w:rFonts w:ascii="宋体" w:hAnsi="宋体"/>
                <w:szCs w:val="22"/>
              </w:rPr>
            </w:pPr>
            <w:r>
              <w:rPr>
                <w:rFonts w:ascii="宋体" w:hAnsi="宋体"/>
                <w:szCs w:val="22"/>
              </w:rPr>
              <w:t>大寒日</w:t>
            </w:r>
          </w:p>
        </w:tc>
        <w:tc>
          <w:tcPr>
            <w:tcW w:w="1477" w:type="pct"/>
            <w:gridSpan w:val="2"/>
            <w:vAlign w:val="center"/>
          </w:tcPr>
          <w:p>
            <w:pPr>
              <w:jc w:val="center"/>
              <w:rPr>
                <w:rFonts w:ascii="宋体" w:hAnsi="宋体"/>
                <w:szCs w:val="22"/>
              </w:rPr>
            </w:pPr>
            <w:r>
              <w:rPr>
                <w:rFonts w:ascii="宋体" w:hAnsi="宋体"/>
                <w:szCs w:val="22"/>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日照时数</w:t>
            </w:r>
            <w:r>
              <w:rPr>
                <w:rFonts w:ascii="宋体" w:hAnsi="宋体"/>
                <w:szCs w:val="21"/>
              </w:rPr>
              <w:t>(h)</w:t>
            </w:r>
          </w:p>
        </w:tc>
        <w:tc>
          <w:tcPr>
            <w:tcW w:w="893" w:type="pct"/>
            <w:vAlign w:val="center"/>
          </w:tcPr>
          <w:p>
            <w:pPr>
              <w:jc w:val="center"/>
              <w:rPr>
                <w:rFonts w:ascii="宋体" w:hAnsi="宋体" w:cs="Arial Unicode MS"/>
                <w:szCs w:val="21"/>
              </w:rPr>
            </w:pPr>
            <w:r>
              <w:rPr>
                <w:rFonts w:ascii="宋体" w:hAnsi="宋体"/>
                <w:szCs w:val="21"/>
              </w:rPr>
              <w:t>≥2</w:t>
            </w:r>
          </w:p>
        </w:tc>
        <w:tc>
          <w:tcPr>
            <w:tcW w:w="1291" w:type="pct"/>
            <w:gridSpan w:val="2"/>
            <w:vAlign w:val="center"/>
          </w:tcPr>
          <w:p>
            <w:pPr>
              <w:jc w:val="center"/>
              <w:rPr>
                <w:rFonts w:ascii="宋体" w:hAnsi="宋体"/>
                <w:szCs w:val="22"/>
              </w:rPr>
            </w:pPr>
            <w:r>
              <w:rPr>
                <w:rFonts w:ascii="宋体" w:hAnsi="宋体"/>
                <w:szCs w:val="22"/>
              </w:rPr>
              <w:t>≥3</w:t>
            </w:r>
          </w:p>
        </w:tc>
        <w:tc>
          <w:tcPr>
            <w:tcW w:w="1477" w:type="pct"/>
            <w:gridSpan w:val="2"/>
            <w:vAlign w:val="center"/>
          </w:tcPr>
          <w:p>
            <w:pPr>
              <w:jc w:val="center"/>
              <w:rPr>
                <w:rFonts w:ascii="宋体" w:hAnsi="宋体"/>
                <w:szCs w:val="22"/>
              </w:rPr>
            </w:pPr>
            <w:r>
              <w:rPr>
                <w:rFonts w:ascii="宋体" w:hAnsi="宋体"/>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pPr>
              <w:jc w:val="center"/>
              <w:rPr>
                <w:rFonts w:ascii="宋体" w:hAnsi="宋体"/>
                <w:szCs w:val="21"/>
              </w:rPr>
            </w:pPr>
            <w:r>
              <w:rPr>
                <w:rFonts w:ascii="宋体" w:hAnsi="宋体"/>
                <w:szCs w:val="21"/>
              </w:rPr>
              <w:t>有效日照时间带</w:t>
            </w:r>
          </w:p>
          <w:p>
            <w:pPr>
              <w:jc w:val="center"/>
              <w:rPr>
                <w:rFonts w:ascii="宋体" w:hAnsi="宋体"/>
                <w:szCs w:val="21"/>
              </w:rPr>
            </w:pPr>
            <w:r>
              <w:rPr>
                <w:rFonts w:ascii="宋体" w:hAnsi="宋体"/>
                <w:szCs w:val="21"/>
              </w:rPr>
              <w:t>(当地真太阳时)</w:t>
            </w:r>
          </w:p>
        </w:tc>
        <w:tc>
          <w:tcPr>
            <w:tcW w:w="2183" w:type="pct"/>
            <w:gridSpan w:val="3"/>
            <w:vAlign w:val="center"/>
          </w:tcPr>
          <w:p>
            <w:pPr>
              <w:jc w:val="center"/>
              <w:rPr>
                <w:rFonts w:ascii="宋体" w:hAnsi="宋体" w:cs="Arial Unicode MS"/>
                <w:szCs w:val="21"/>
              </w:rPr>
            </w:pPr>
            <w:r>
              <w:rPr>
                <w:rFonts w:ascii="宋体" w:hAnsi="宋体"/>
                <w:szCs w:val="21"/>
              </w:rPr>
              <w:t>8时～16时</w:t>
            </w:r>
          </w:p>
        </w:tc>
        <w:tc>
          <w:tcPr>
            <w:tcW w:w="1477" w:type="pct"/>
            <w:gridSpan w:val="2"/>
            <w:vAlign w:val="center"/>
          </w:tcPr>
          <w:p>
            <w:pPr>
              <w:jc w:val="center"/>
              <w:rPr>
                <w:rFonts w:ascii="宋体" w:hAnsi="宋体" w:cs="Arial Unicode MS"/>
                <w:szCs w:val="21"/>
              </w:rPr>
            </w:pPr>
            <w:r>
              <w:rPr>
                <w:rFonts w:ascii="宋体" w:hAnsi="宋体"/>
                <w:szCs w:val="21"/>
              </w:rPr>
              <w:t>9时～15时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1"/>
              </w:rPr>
              <w:t>计算起点</w:t>
            </w:r>
          </w:p>
        </w:tc>
        <w:tc>
          <w:tcPr>
            <w:tcW w:w="3660" w:type="pct"/>
            <w:gridSpan w:val="5"/>
            <w:vAlign w:val="center"/>
          </w:tcPr>
          <w:p>
            <w:pPr>
              <w:jc w:val="center"/>
              <w:rPr>
                <w:rFonts w:ascii="宋体" w:hAnsi="宋体"/>
                <w:szCs w:val="22"/>
              </w:rPr>
            </w:pPr>
            <w:r>
              <w:rPr>
                <w:rFonts w:ascii="宋体" w:hAnsi="宋体"/>
                <w:szCs w:val="22"/>
              </w:rPr>
              <w:t>底层窗台面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层号</w:t>
            </w:r>
          </w:p>
        </w:tc>
        <w:tc>
          <w:tcPr>
            <w:tcW w:w="1400" w:type="dxa"/>
            <w:vMerge w:val="restart"/>
            <w:vAlign w:val="center"/>
          </w:tcPr>
          <w:p>
            <w:pPr>
              <w:jc w:val="center"/>
            </w:pPr>
            <w:r>
              <w:t>窗位</w:t>
            </w:r>
          </w:p>
        </w:tc>
        <w:tc>
          <w:tcPr>
            <w:tcW w:w="2340" w:type="dxa"/>
            <w:vMerge w:val="restart"/>
            <w:vAlign w:val="center"/>
          </w:tcPr>
          <w:p>
            <w:pPr>
              <w:jc w:val="center"/>
            </w:pPr>
            <w:r>
              <w:t>窗台高(米)</w:t>
            </w:r>
          </w:p>
        </w:tc>
        <w:tc>
          <w:tcPr>
            <w:tcW w:w="4680" w:type="dxa"/>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Merge w:val="continue"/>
            <w:vAlign w:val="center"/>
          </w:tcPr>
          <w:p>
            <w:pPr>
              <w:jc w:val="center"/>
            </w:pPr>
          </w:p>
        </w:tc>
        <w:tc>
          <w:tcPr>
            <w:tcW w:w="2340" w:type="dxa"/>
            <w:vMerge w:val="continue"/>
            <w:vAlign w:val="center"/>
          </w:tcPr>
          <w:p>
            <w:pPr>
              <w:jc w:val="center"/>
            </w:pPr>
          </w:p>
        </w:tc>
        <w:tc>
          <w:tcPr>
            <w:tcW w:w="2340" w:type="dxa"/>
            <w:vAlign w:val="center"/>
          </w:tcPr>
          <w:p>
            <w:pPr>
              <w:jc w:val="center"/>
            </w:pPr>
            <w:r>
              <w:t>日照时间</w:t>
            </w:r>
          </w:p>
        </w:tc>
        <w:tc>
          <w:tcPr>
            <w:tcW w:w="2340" w:type="dxa"/>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1</w:t>
            </w:r>
          </w:p>
        </w:tc>
        <w:tc>
          <w:tcPr>
            <w:tcW w:w="1400" w:type="dxa"/>
            <w:vAlign w:val="center"/>
          </w:tcPr>
          <w:p>
            <w:pPr>
              <w:jc w:val="center"/>
            </w:pPr>
            <w:r>
              <w:t>7～12</w:t>
            </w:r>
          </w:p>
        </w:tc>
        <w:tc>
          <w:tcPr>
            <w:tcW w:w="2340" w:type="dxa"/>
            <w:vAlign w:val="center"/>
          </w:tcPr>
          <w:p>
            <w:pPr>
              <w:jc w:val="center"/>
            </w:pPr>
            <w:r>
              <w:t>1.50</w:t>
            </w:r>
          </w:p>
        </w:tc>
        <w:tc>
          <w:tcPr>
            <w:tcW w:w="2340" w:type="dxa"/>
            <w:vAlign w:val="center"/>
          </w:tcPr>
          <w:p>
            <w:pPr>
              <w:jc w:val="center"/>
            </w:pPr>
            <w:r>
              <w:t>09:21～16:00</w:t>
            </w:r>
          </w:p>
        </w:tc>
        <w:tc>
          <w:tcPr>
            <w:tcW w:w="2340" w:type="dxa"/>
            <w:vAlign w:val="center"/>
          </w:tcPr>
          <w:p>
            <w:pPr>
              <w:jc w:val="center"/>
            </w:pPr>
            <w:r>
              <w:t>06:39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2</w:t>
            </w:r>
          </w:p>
        </w:tc>
        <w:tc>
          <w:tcPr>
            <w:tcW w:w="1400" w:type="dxa"/>
            <w:vAlign w:val="center"/>
          </w:tcPr>
          <w:p>
            <w:pPr>
              <w:jc w:val="center"/>
            </w:pPr>
            <w:r>
              <w:t>7～12</w:t>
            </w:r>
          </w:p>
        </w:tc>
        <w:tc>
          <w:tcPr>
            <w:tcW w:w="2340" w:type="dxa"/>
            <w:vAlign w:val="center"/>
          </w:tcPr>
          <w:p>
            <w:pPr>
              <w:jc w:val="center"/>
            </w:pPr>
            <w:r>
              <w:t>5.10</w:t>
            </w:r>
          </w:p>
        </w:tc>
        <w:tc>
          <w:tcPr>
            <w:tcW w:w="2340" w:type="dxa"/>
            <w:vAlign w:val="center"/>
          </w:tcPr>
          <w:p>
            <w:pPr>
              <w:jc w:val="center"/>
            </w:pPr>
            <w:r>
              <w:t>09:21～16:00</w:t>
            </w:r>
          </w:p>
        </w:tc>
        <w:tc>
          <w:tcPr>
            <w:tcW w:w="2340" w:type="dxa"/>
            <w:vAlign w:val="center"/>
          </w:tcPr>
          <w:p>
            <w:pPr>
              <w:jc w:val="center"/>
            </w:pPr>
            <w:r>
              <w:t>06:39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3</w:t>
            </w:r>
          </w:p>
        </w:tc>
        <w:tc>
          <w:tcPr>
            <w:tcW w:w="1400" w:type="dxa"/>
            <w:vAlign w:val="center"/>
          </w:tcPr>
          <w:p>
            <w:pPr>
              <w:jc w:val="center"/>
            </w:pPr>
            <w:r>
              <w:t>7～12</w:t>
            </w:r>
          </w:p>
        </w:tc>
        <w:tc>
          <w:tcPr>
            <w:tcW w:w="2340" w:type="dxa"/>
            <w:vAlign w:val="center"/>
          </w:tcPr>
          <w:p>
            <w:pPr>
              <w:jc w:val="center"/>
            </w:pPr>
            <w:r>
              <w:t>8.70</w:t>
            </w:r>
          </w:p>
        </w:tc>
        <w:tc>
          <w:tcPr>
            <w:tcW w:w="2340" w:type="dxa"/>
            <w:vAlign w:val="center"/>
          </w:tcPr>
          <w:p>
            <w:pPr>
              <w:jc w:val="center"/>
            </w:pPr>
            <w:r>
              <w:t>09:21～16:00</w:t>
            </w:r>
          </w:p>
        </w:tc>
        <w:tc>
          <w:tcPr>
            <w:tcW w:w="2340" w:type="dxa"/>
            <w:vAlign w:val="center"/>
          </w:tcPr>
          <w:p>
            <w:pPr>
              <w:jc w:val="center"/>
            </w:pPr>
            <w:r>
              <w:t>06:39</w:t>
            </w:r>
          </w:p>
        </w:tc>
      </w:tr>
    </w:tbl>
    <w:p/>
    <w:p>
      <w:pPr>
        <w:spacing w:line="360" w:lineRule="auto"/>
        <w:rPr>
          <w:rFonts w:ascii="宋体" w:hAnsi="宋体"/>
          <w:sz w:val="22"/>
        </w:rPr>
      </w:pPr>
      <w:bookmarkStart w:id="27" w:name="ANALYSE_TABLE"/>
      <w:bookmarkEnd w:id="27"/>
      <w:bookmarkStart w:id="28" w:name="窗照分析表"/>
      <w:bookmarkEnd w:id="28"/>
    </w:p>
    <w:p>
      <w:pPr>
        <w:spacing w:line="360" w:lineRule="auto"/>
        <w:rPr>
          <w:rFonts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w:pict>
        <v:rect id="_x0000_s1028" o:spid="_x0000_s1028" o:spt="1" style="position:absolute;left:0pt;margin-left:0pt;margin-top:1.15pt;height:15.6pt;width:99pt;z-index:251659264;mso-width-relative:page;mso-height-relative:page;" filled="f" stroked="f" coordsize="21600,21600">
          <v:path/>
          <v:fill on="f" focussize="0,0"/>
          <v:stroke on="f"/>
          <v:imagedata o:title=""/>
          <o:lock v:ext="edit"/>
          <v:textbox inset="0mm,0mm,0mm,0mm">
            <w:txbxContent>
              <w:p>
                <w:pPr>
                  <w:rPr>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pict>
        <v:shape id="_x0000_s1029" o:spid="_x0000_s1029" o:spt="75" type="#_x0000_t75" style="position:absolute;left:0pt;margin-left:372.35pt;margin-top:-12.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MxODY5OTU1NzdkODQ0M2ViMTM0MzRjZjE3NzFiZTIifQ=="/>
  </w:docVars>
  <w:rsids>
    <w:rsidRoot w:val="00F71F4C"/>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254B"/>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13F28"/>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1F4C"/>
    <w:rsid w:val="00F7377A"/>
    <w:rsid w:val="00F74B10"/>
    <w:rsid w:val="00F77558"/>
    <w:rsid w:val="00F87EAB"/>
    <w:rsid w:val="00F97E28"/>
    <w:rsid w:val="00FA00FD"/>
    <w:rsid w:val="00FA1D94"/>
    <w:rsid w:val="00FB198D"/>
    <w:rsid w:val="00FB6754"/>
    <w:rsid w:val="00FD0AF7"/>
    <w:rsid w:val="00FE12AB"/>
    <w:rsid w:val="47E04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autoRedefine/>
    <w:qFormat/>
    <w:uiPriority w:val="0"/>
    <w:pPr>
      <w:spacing w:line="440" w:lineRule="exact"/>
      <w:ind w:firstLine="480" w:firstLineChars="200"/>
    </w:pPr>
    <w:rPr>
      <w:rFonts w:ascii="宋体" w:hAnsi="宋体"/>
      <w:sz w:val="24"/>
      <w:szCs w:val="24"/>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autoRedefine/>
    <w:qFormat/>
    <w:uiPriority w:val="0"/>
    <w:pPr>
      <w:shd w:val="clear" w:color="auto" w:fill="CCCCCC"/>
    </w:pPr>
  </w:style>
  <w:style w:type="paragraph" w:customStyle="1" w:styleId="12">
    <w:name w:val="25灰表"/>
    <w:basedOn w:val="10"/>
    <w:autoRedefine/>
    <w:qFormat/>
    <w:uiPriority w:val="0"/>
    <w:pPr>
      <w:shd w:val="clear" w:color="auto" w:fill="C0C0C0"/>
    </w:pPr>
  </w:style>
  <w:style w:type="character" w:customStyle="1" w:styleId="13">
    <w:name w:val="正文文本缩进 字符"/>
    <w:link w:val="2"/>
    <w:autoRedefine/>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jin\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tmp11.dotx</Template>
  <Company>sh-tangent</Company>
  <Pages>5</Pages>
  <Words>415</Words>
  <Characters>2368</Characters>
  <Lines>19</Lines>
  <Paragraphs>5</Paragraphs>
  <TotalTime>0</TotalTime>
  <ScaleCrop>false</ScaleCrop>
  <LinksUpToDate>false</LinksUpToDate>
  <CharactersWithSpaces>2778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2023-11-20T13:06:00Z</dcterms:created>
  <dc:creator>yanjin</dc:creator>
  <cp:lastModifiedBy>迪达拉的自爆粘土</cp:lastModifiedBy>
  <cp:lastPrinted>2411-12-31T16:00:00Z</cp:lastPrinted>
  <dcterms:modified xsi:type="dcterms:W3CDTF">2024-01-05T07:47:07Z</dcterms:modified>
  <dc:title>通用日照分析报告模板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13B14F7D85AE436DACD7760133287926_12</vt:lpwstr>
  </property>
</Properties>
</file>