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精细化——干预 基于明清徽州传统村落的绿色公共建筑及空间重构设计——UTCI指标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87.0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总得分：Q=（Q0+Q1+Q2+Q3+Q4+Q5+QA）/10=103.0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78841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78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