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居住建筑－规定性指标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>
        <w:rPr>
          <w:rFonts w:hint="eastAsia" w:ascii="宋体" w:hAnsi="宋体"/>
          <w:bCs/>
          <w:sz w:val="32"/>
          <w:szCs w:val="32"/>
          <w:lang w:val="en-US"/>
        </w:rPr>
        <w:t>分散供暖空调</w:t>
      </w:r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贵州省镇山村适老民居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贵州-贵阳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2024年1月9日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T15329852784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_Toc2286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_Toc2286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_Toc21555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_Toc21555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_Toc18401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_Toc18401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_Toc19664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_Toc19664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_Toc15565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_Toc15565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_Toc21612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_Toc21612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_Toc27386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_Toc27386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_Toc4738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_Toc4738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_Toc4101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_Toc4101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_Toc23066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_Toc23066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_Toc5932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_Toc5932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_Toc9326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_Toc9326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_Toc11251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_Toc11251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_Toc20854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_Toc20854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_Toc3814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分户墙</w:t>
      </w:r>
      <w:r>
        <w:tab/>
      </w:r>
      <w:r>
        <w:fldChar w:fldCharType="begin"/>
      </w:r>
      <w:r>
        <w:instrText xml:space="preserve"> PAGEREF _Toc3814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_Toc26143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采暖与非采暖户墙</w:t>
      </w:r>
      <w:r>
        <w:tab/>
      </w:r>
      <w:r>
        <w:fldChar w:fldCharType="begin"/>
      </w:r>
      <w:r>
        <w:instrText xml:space="preserve"> PAGEREF _Toc26143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_Toc9609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外门</w:t>
      </w:r>
      <w:r>
        <w:tab/>
      </w:r>
      <w:r>
        <w:fldChar w:fldCharType="begin"/>
      </w:r>
      <w:r>
        <w:instrText xml:space="preserve"> PAGEREF _Toc9609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_Toc31998 </w:instrText>
      </w:r>
      <w:r>
        <w:fldChar w:fldCharType="separate"/>
      </w:r>
      <w:r>
        <w:rPr>
          <w:rFonts w:hint="eastAsia"/>
        </w:rPr>
        <w:t xml:space="preserve">13 </w:t>
      </w:r>
      <w:r>
        <w:t>外窗热工</w:t>
      </w:r>
      <w:r>
        <w:tab/>
      </w:r>
      <w:r>
        <w:fldChar w:fldCharType="begin"/>
      </w:r>
      <w:r>
        <w:instrText xml:space="preserve"> PAGEREF _Toc31998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_Toc18103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外窗构造</w:t>
      </w:r>
      <w:r>
        <w:tab/>
      </w:r>
      <w:r>
        <w:fldChar w:fldCharType="begin"/>
      </w:r>
      <w:r>
        <w:instrText xml:space="preserve"> PAGEREF _Toc18103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_Toc1458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外遮阳类型</w:t>
      </w:r>
      <w:r>
        <w:tab/>
      </w:r>
      <w:r>
        <w:fldChar w:fldCharType="begin"/>
      </w:r>
      <w:r>
        <w:instrText xml:space="preserve"> PAGEREF _Toc1458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_Toc3835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平均传热系数</w:t>
      </w:r>
      <w:r>
        <w:tab/>
      </w:r>
      <w:r>
        <w:fldChar w:fldCharType="begin"/>
      </w:r>
      <w:r>
        <w:instrText xml:space="preserve"> PAGEREF _Toc3835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_Toc4191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总体热工性能</w:t>
      </w:r>
      <w:r>
        <w:tab/>
      </w:r>
      <w:r>
        <w:fldChar w:fldCharType="begin"/>
      </w:r>
      <w:r>
        <w:instrText xml:space="preserve"> PAGEREF _Toc4191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_Toc9384 </w:instrText>
      </w:r>
      <w:r>
        <w:fldChar w:fldCharType="separate"/>
      </w:r>
      <w:r>
        <w:rPr>
          <w:rFonts w:hint="eastAsia"/>
        </w:rPr>
        <w:t xml:space="preserve">14 </w:t>
      </w:r>
      <w:r>
        <w:t>周边地面-控温构造</w:t>
      </w:r>
      <w:r>
        <w:tab/>
      </w:r>
      <w:r>
        <w:fldChar w:fldCharType="begin"/>
      </w:r>
      <w:r>
        <w:instrText xml:space="preserve"> PAGEREF _Toc9384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_Toc3550 </w:instrText>
      </w:r>
      <w:r>
        <w:fldChar w:fldCharType="separate"/>
      </w:r>
      <w:r>
        <w:rPr>
          <w:rFonts w:hint="eastAsia"/>
        </w:rPr>
        <w:t xml:space="preserve">15 </w:t>
      </w:r>
      <w:r>
        <w:t>可开启面积</w:t>
      </w:r>
      <w:r>
        <w:tab/>
      </w:r>
      <w:r>
        <w:fldChar w:fldCharType="begin"/>
      </w:r>
      <w:r>
        <w:instrText xml:space="preserve"> PAGEREF _Toc3550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_Toc20923 </w:instrText>
      </w:r>
      <w:r>
        <w:fldChar w:fldCharType="separate"/>
      </w:r>
      <w:r>
        <w:rPr>
          <w:rFonts w:hint="eastAsia"/>
        </w:rPr>
        <w:t xml:space="preserve">16 </w:t>
      </w:r>
      <w:r>
        <w:t>外窗气密性</w:t>
      </w:r>
      <w:r>
        <w:tab/>
      </w:r>
      <w:r>
        <w:fldChar w:fldCharType="begin"/>
      </w:r>
      <w:r>
        <w:instrText xml:space="preserve"> PAGEREF _Toc20923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_Toc29336 </w:instrText>
      </w:r>
      <w:r>
        <w:fldChar w:fldCharType="separate"/>
      </w:r>
      <w:r>
        <w:rPr>
          <w:rFonts w:hint="eastAsia"/>
        </w:rPr>
        <w:t xml:space="preserve">17 </w:t>
      </w:r>
      <w:r>
        <w:t>结论</w:t>
      </w:r>
      <w:r>
        <w:tab/>
      </w:r>
      <w:r>
        <w:fldChar w:fldCharType="begin"/>
      </w:r>
      <w:r>
        <w:instrText xml:space="preserve"> PAGEREF _Toc29336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3" w:name="_Toc2286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贵州-贵阳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26.58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106.72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气候分区"/>
            <w:r>
              <w:t>温和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面积"/>
            <w:r>
              <w:rPr>
                <w:rFonts w:hint="eastAsia" w:ascii="宋体" w:hAnsi="宋体"/>
                <w:lang w:val="en-US"/>
              </w:rPr>
              <w:t>223</w:t>
            </w:r>
            <w:bookmarkEnd w:id="20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1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1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2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4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体积"/>
            <w:r>
              <w:t>1074.19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表面积"/>
            <w:r>
              <w:t>902.24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北向角度"/>
            <w:r>
              <w:t>91.2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bookmarkEnd w:id="14"/>
    </w:tbl>
    <w:p>
      <w:pPr>
        <w:pStyle w:val="2"/>
      </w:pPr>
      <w:bookmarkStart w:id="31" w:name="_Toc21555"/>
      <w:bookmarkStart w:id="32" w:name="TitleFormat"/>
      <w:r>
        <w:rPr>
          <w:rFonts w:hint="eastAsia"/>
        </w:rPr>
        <w:t>设计依据</w:t>
      </w:r>
      <w:bookmarkEnd w:id="31"/>
    </w:p>
    <w:bookmarkEnd w:id="32"/>
    <w:p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3"/>
      <w:r>
        <w:rPr>
          <w:kern w:val="2"/>
          <w:szCs w:val="24"/>
          <w:lang w:val="en-US"/>
        </w:rPr>
        <w:t>1. 《贵州省居住建筑节能设计标准》(DBJ52-49-2008)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4" w:name="_Toc18401"/>
      <w:r>
        <w:rPr>
          <w:kern w:val="2"/>
          <w:szCs w:val="24"/>
          <w:lang w:val="en-US"/>
        </w:rPr>
        <w:t>工程材料</w:t>
      </w:r>
      <w:bookmarkEnd w:id="34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5" w:name="_Toc19664"/>
      <w:r>
        <w:rPr>
          <w:kern w:val="2"/>
          <w:szCs w:val="24"/>
          <w:lang w:val="en-US"/>
        </w:rPr>
        <w:t>体形系数</w:t>
      </w:r>
      <w:bookmarkEnd w:id="3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902.24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1074.19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建筑形状</w:t>
            </w:r>
          </w:p>
        </w:tc>
        <w:tc>
          <w:tcPr>
            <w:vAlign w:val="center"/>
          </w:tcPr>
          <w:p>
            <w:r>
              <w:t>条形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《标准1》第5.1.7条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条式建筑不应超过0.35，点式建筑不应超过0.40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6" w:name="_Toc15565"/>
      <w:r>
        <w:rPr>
          <w:kern w:val="2"/>
          <w:szCs w:val="24"/>
          <w:lang w:val="en-US"/>
        </w:rPr>
        <w:t>窗墙比</w:t>
      </w:r>
      <w:bookmarkEnd w:id="36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7" w:name="_Toc21612"/>
      <w:r>
        <w:rPr>
          <w:kern w:val="2"/>
          <w:szCs w:val="24"/>
          <w:lang w:val="en-US"/>
        </w:rPr>
        <w:t>窗墙比</w:t>
      </w:r>
      <w:bookmarkEnd w:id="3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19.51</w:t>
            </w:r>
          </w:p>
        </w:tc>
        <w:tc>
          <w:tcPr>
            <w:vAlign w:val="center"/>
          </w:tcPr>
          <w:p>
            <w:r>
              <w:t>127.36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10.60</w:t>
            </w:r>
          </w:p>
        </w:tc>
        <w:tc>
          <w:tcPr>
            <w:vAlign w:val="center"/>
          </w:tcPr>
          <w:p>
            <w:r>
              <w:t>130.20</w:t>
            </w:r>
          </w:p>
        </w:tc>
        <w:tc>
          <w:tcPr>
            <w:vAlign w:val="center"/>
          </w:tcPr>
          <w:p>
            <w:r>
              <w:t>0.08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9.44</w:t>
            </w:r>
          </w:p>
        </w:tc>
        <w:tc>
          <w:tcPr>
            <w:vAlign w:val="center"/>
          </w:tcPr>
          <w:p>
            <w:r>
              <w:t>181.60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196.53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《标准1》第5.2.5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各朝向窗墙比不超过限值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适宜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8" w:name="_Toc27386"/>
      <w:r>
        <w:rPr>
          <w:kern w:val="2"/>
          <w:szCs w:val="24"/>
          <w:lang w:val="en-US"/>
        </w:rPr>
        <w:t>外窗表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62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19.51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1,3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0.81×1.50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1.21</w:t>
            </w:r>
          </w:p>
        </w:tc>
        <w:tc>
          <w:tcPr>
            <w:vAlign w:val="center"/>
          </w:tcPr>
          <w:p>
            <w:r>
              <w:t>1.21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C2115</w:t>
            </w:r>
          </w:p>
        </w:tc>
        <w:tc>
          <w:tcPr>
            <w:vAlign w:val="center"/>
          </w:tcPr>
          <w:p>
            <w:r>
              <w:t>2.09×1.50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3.14</w:t>
            </w:r>
          </w:p>
        </w:tc>
        <w:tc>
          <w:tcPr>
            <w:vAlign w:val="center"/>
          </w:tcPr>
          <w:p>
            <w:r>
              <w:t>3.14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C3415</w:t>
            </w:r>
          </w:p>
        </w:tc>
        <w:tc>
          <w:tcPr>
            <w:vAlign w:val="center"/>
          </w:tcPr>
          <w:p>
            <w:r>
              <w:t>2.81×2.40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6.74</w:t>
            </w:r>
          </w:p>
        </w:tc>
        <w:tc>
          <w:tcPr>
            <w:vAlign w:val="center"/>
          </w:tcPr>
          <w:p>
            <w:r>
              <w:t>6.74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2.01×1.50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3.02</w:t>
            </w:r>
          </w:p>
        </w:tc>
        <w:tc>
          <w:tcPr>
            <w:vAlign w:val="center"/>
          </w:tcPr>
          <w:p>
            <w:r>
              <w:t>3.02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  <w:r>
              <w:br w:type="textWrapping"/>
            </w:r>
            <w:r>
              <w:t>10.60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1.47×1.50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2.21</w:t>
            </w:r>
          </w:p>
        </w:tc>
        <w:tc>
          <w:tcPr>
            <w:vAlign w:val="center"/>
          </w:tcPr>
          <w:p>
            <w:r>
              <w:t>2.21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C2015</w:t>
            </w:r>
          </w:p>
        </w:tc>
        <w:tc>
          <w:tcPr>
            <w:vAlign w:val="center"/>
          </w:tcPr>
          <w:p>
            <w:r>
              <w:t>2.00×1.50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9.44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1.15×1.50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1.73</w:t>
            </w:r>
          </w:p>
        </w:tc>
        <w:tc>
          <w:tcPr>
            <w:vAlign w:val="center"/>
          </w:tcPr>
          <w:p>
            <w:r>
              <w:t>1.73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1.54×1.50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2.31</w:t>
            </w:r>
          </w:p>
        </w:tc>
        <w:tc>
          <w:tcPr>
            <w:vAlign w:val="center"/>
          </w:tcPr>
          <w:p>
            <w:r>
              <w:t>2.31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西向</w:t>
            </w:r>
            <w:r>
              <w:br w:type="textWrapping"/>
            </w:r>
            <w:r>
              <w:t>3.60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3.60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4738"/>
      <w:r>
        <w:rPr>
          <w:kern w:val="2"/>
          <w:szCs w:val="24"/>
          <w:lang w:val="en-US"/>
        </w:rPr>
        <w:t>屋顶构造</w:t>
      </w:r>
      <w:bookmarkEnd w:id="39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4101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1.142</w:t>
            </w:r>
          </w:p>
        </w:tc>
        <w:tc>
          <w:tcPr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《标准1》第5.2.1条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1" w:name="_Toc23066"/>
      <w:r>
        <w:rPr>
          <w:kern w:val="2"/>
          <w:szCs w:val="24"/>
          <w:lang w:val="en-US"/>
        </w:rPr>
        <w:t>外墙构造</w:t>
      </w:r>
      <w:bookmarkEnd w:id="41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2" w:name="_Toc5932"/>
      <w:r>
        <w:rPr>
          <w:kern w:val="2"/>
          <w:szCs w:val="24"/>
          <w:lang w:val="en-US"/>
        </w:rPr>
        <w:t>外墙构造一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0.738</w:t>
            </w:r>
          </w:p>
        </w:tc>
        <w:tc>
          <w:tcPr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《标准4》第5.2.1条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符合第5.2.1条要求(K≤1.20)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3" w:name="_Toc9326"/>
      <w:r>
        <w:rPr>
          <w:kern w:val="2"/>
          <w:szCs w:val="24"/>
          <w:lang w:val="en-US"/>
        </w:rPr>
        <w:t>挑空楼板</w:t>
      </w:r>
      <w:bookmarkEnd w:id="43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4" w:name="_Toc11251"/>
      <w:r>
        <w:rPr>
          <w:kern w:val="2"/>
          <w:szCs w:val="24"/>
          <w:lang w:val="en-US"/>
        </w:rPr>
        <w:t>挑空楼板构造一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0.689</w:t>
            </w:r>
          </w:p>
        </w:tc>
        <w:tc>
          <w:tcPr>
            <w:vAlign w:val="center"/>
          </w:tcPr>
          <w:p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《标准4》第5.2.1条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5" w:name="_Toc20854"/>
      <w:r>
        <w:rPr>
          <w:kern w:val="2"/>
          <w:szCs w:val="24"/>
          <w:lang w:val="en-US"/>
        </w:rPr>
        <w:t>楼板</w:t>
      </w:r>
      <w:bookmarkEnd w:id="45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6" w:name="_Toc3814"/>
      <w:r>
        <w:rPr>
          <w:kern w:val="2"/>
          <w:szCs w:val="24"/>
          <w:lang w:val="en-US"/>
        </w:rPr>
        <w:t>分户墙</w:t>
      </w:r>
      <w:bookmarkEnd w:id="46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7" w:name="_Toc26143"/>
      <w:r>
        <w:rPr>
          <w:kern w:val="2"/>
          <w:szCs w:val="24"/>
          <w:lang w:val="en-US"/>
        </w:rPr>
        <w:t>采暖与非采暖户墙</w:t>
      </w:r>
      <w:bookmarkEnd w:id="4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8" w:name="_Toc9609"/>
      <w:r>
        <w:rPr>
          <w:kern w:val="2"/>
          <w:szCs w:val="24"/>
          <w:lang w:val="en-US"/>
        </w:rPr>
        <w:t>外门</w:t>
      </w:r>
      <w:bookmarkEnd w:id="48"/>
    </w:p>
    <w:p>
      <w:pPr>
        <w:widowControl w:val="0"/>
        <w:jc w:val="both"/>
        <w:rPr>
          <w:kern w:val="2"/>
          <w:szCs w:val="24"/>
          <w:lang w:val="en-US"/>
        </w:rPr>
      </w:pPr>
    </w:p>
    <w:p>
      <w:r>
        <w:tab/>
      </w:r>
      <w:r>
        <w:t>本工程无此项内容</w:t>
      </w:r>
    </w:p>
    <w:p>
      <w:pPr>
        <w:pStyle w:val="2"/>
      </w:pPr>
      <w:bookmarkStart w:id="49" w:name="_Toc31998"/>
      <w:r>
        <w:t>外窗热工</w:t>
      </w:r>
      <w:bookmarkEnd w:id="49"/>
    </w:p>
    <w:p>
      <w:pPr>
        <w:pStyle w:val="4"/>
      </w:pPr>
      <w:bookmarkStart w:id="50" w:name="_Toc18103"/>
      <w:r>
        <w:t>外窗构造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来源《民用建筑热工设计规范》</w:t>
            </w:r>
          </w:p>
        </w:tc>
      </w:tr>
    </w:tbl>
    <w:p>
      <w:pPr>
        <w:pStyle w:val="4"/>
      </w:pPr>
      <w:bookmarkStart w:id="51" w:name="_Toc1458"/>
      <w:r>
        <w:t>外遮阳类型</w:t>
      </w:r>
      <w:bookmarkEnd w:id="51"/>
    </w:p>
    <w:p>
      <w:r>
        <w:t>本工程无此内容</w:t>
      </w:r>
    </w:p>
    <w:p>
      <w:pPr>
        <w:pStyle w:val="4"/>
      </w:pPr>
      <w:bookmarkStart w:id="52" w:name="_Toc3835"/>
      <w:r>
        <w:t>平均传热系数</w:t>
      </w:r>
      <w:bookmarkEnd w:id="52"/>
    </w:p>
    <w:p>
      <w: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1,3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1.213</w:t>
            </w:r>
          </w:p>
        </w:tc>
        <w:tc>
          <w:tcPr>
            <w:vAlign w:val="center"/>
          </w:tcPr>
          <w:p>
            <w:r>
              <w:t>1.213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C2115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3.137</w:t>
            </w:r>
          </w:p>
        </w:tc>
        <w:tc>
          <w:tcPr>
            <w:vAlign w:val="center"/>
          </w:tcPr>
          <w:p>
            <w:r>
              <w:t>3.137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C3415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6.739</w:t>
            </w:r>
          </w:p>
        </w:tc>
        <w:tc>
          <w:tcPr>
            <w:vAlign w:val="center"/>
          </w:tcPr>
          <w:p>
            <w:r>
              <w:t>6.739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3.019</w:t>
            </w:r>
          </w:p>
        </w:tc>
        <w:tc>
          <w:tcPr>
            <w:vAlign w:val="center"/>
          </w:tcPr>
          <w:p>
            <w:r>
              <w:t>3.019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19.508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</w:tbl>
    <w:p>
      <w: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2.205</w:t>
            </w:r>
          </w:p>
        </w:tc>
        <w:tc>
          <w:tcPr>
            <w:vAlign w:val="center"/>
          </w:tcPr>
          <w:p>
            <w:r>
              <w:t>2.205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C2015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2.996</w:t>
            </w:r>
          </w:p>
        </w:tc>
        <w:tc>
          <w:tcPr>
            <w:vAlign w:val="center"/>
          </w:tcPr>
          <w:p>
            <w:r>
              <w:t>2.996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10.601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</w:tbl>
    <w:p/>
    <w:p>
      <w: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1.728</w:t>
            </w:r>
          </w:p>
        </w:tc>
        <w:tc>
          <w:tcPr>
            <w:vAlign w:val="center"/>
          </w:tcPr>
          <w:p>
            <w:r>
              <w:t>1.728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2.307</w:t>
            </w:r>
          </w:p>
        </w:tc>
        <w:tc>
          <w:tcPr>
            <w:vAlign w:val="center"/>
          </w:tcPr>
          <w:p>
            <w:r>
              <w:t>2.307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9.435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</w:tbl>
    <w:p/>
    <w:p>
      <w: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3.900</w:t>
            </w:r>
          </w:p>
        </w:tc>
      </w:tr>
    </w:tbl>
    <w:p/>
    <w:p>
      <w:pPr>
        <w:pStyle w:val="4"/>
      </w:pPr>
      <w:bookmarkStart w:id="53" w:name="_Toc4191"/>
      <w:r>
        <w:t>总体热工性能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708"/>
        <w:gridCol w:w="1821"/>
        <w:gridCol w:w="1934"/>
        <w:gridCol w:w="19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19.51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10.60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9.44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>
            <w:r>
              <w:t>43.14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《标准1》第5.2.1条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外窗传热系数应符合表5.2.1规定的限值(kW≤4.70且kE≤4.70且kS≤4.70且kN≤4.70)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r>
        <w:t>注：本表所统计的外窗包含凸窗。</w:t>
      </w:r>
    </w:p>
    <w:p>
      <w:pPr>
        <w:pStyle w:val="2"/>
      </w:pPr>
      <w:bookmarkStart w:id="54" w:name="_Toc9384"/>
      <w:r>
        <w:t>周边地面-控温构造</w:t>
      </w:r>
      <w:bookmarkEnd w:id="54"/>
    </w:p>
    <w:p>
      <w:r>
        <w:tab/>
      </w:r>
      <w:r>
        <w:t>本工程无此项内容</w:t>
      </w:r>
    </w:p>
    <w:p>
      <w:pPr>
        <w:pStyle w:val="2"/>
      </w:pPr>
      <w:bookmarkStart w:id="55" w:name="_Toc3550"/>
      <w:r>
        <w:t>可开启面积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3"/>
        <w:gridCol w:w="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透光面积/房间面积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开启面积/房间面积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外窗开启比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幕墙开启比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1002(最不利房间)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9.73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2.43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阳台门</w:t>
            </w:r>
          </w:p>
        </w:tc>
        <w:tc>
          <w:tcPr>
            <w:vMerge w:val="restart"/>
            <w:vAlign w:val="center"/>
          </w:tcPr>
          <w:p>
            <w:r>
              <w:t>0.18</w:t>
            </w:r>
          </w:p>
        </w:tc>
        <w:tc>
          <w:tcPr>
            <w:vMerge w:val="restart"/>
            <w:vAlign w:val="center"/>
          </w:tcPr>
          <w:p>
            <w:r>
              <w:t>0.31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－</w:t>
            </w:r>
          </w:p>
        </w:tc>
        <w:tc>
          <w:tcPr>
            <w:vMerge w:val="restart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11"/>
            <w:vAlign w:val="center"/>
          </w:tcPr>
          <w:p>
            <w:r>
              <w:t>《标准1》第5.2.5条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11"/>
            <w:vAlign w:val="center"/>
          </w:tcPr>
          <w:p>
            <w:r>
              <w:t>外窗可开启面积不小于窗面积30%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11"/>
            <w:vAlign w:val="center"/>
          </w:tcPr>
          <w:p>
            <w:r>
              <w:t>满足</w:t>
            </w:r>
          </w:p>
        </w:tc>
      </w:tr>
    </w:tbl>
    <w:p>
      <w:r>
        <w:t>注：达标时只列出一项，不达标时列出全部不达标项</w:t>
      </w:r>
    </w:p>
    <w:p/>
    <w:p>
      <w:pPr>
        <w:pStyle w:val="2"/>
      </w:pPr>
      <w:bookmarkStart w:id="56" w:name="_Toc20923"/>
      <w:r>
        <w:t>外窗气密性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1～6层</w:t>
            </w:r>
          </w:p>
        </w:tc>
        <w:tc>
          <w:tcPr>
            <w:vAlign w:val="center"/>
          </w:tcPr>
          <w:p>
            <w:r>
              <w:t>7层以上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 xml:space="preserve">6级  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《标准1》第5.2.7条，分级与检测方法《标准3》</w:t>
            </w:r>
          </w:p>
        </w:tc>
        <w:tc>
          <w:tcPr>
            <w:vAlign w:val="center"/>
          </w:tcPr>
          <w:p>
            <w:r>
              <w:t>《标准1》第5.2.7条，分级与检测方法《标准3》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1～6层外窗气密性不应低于《标准3》的3级</w:t>
            </w:r>
          </w:p>
        </w:tc>
        <w:tc>
          <w:tcPr>
            <w:vAlign w:val="center"/>
          </w:tcPr>
          <w:p>
            <w:r>
              <w:t>7层以上外窗气密性不应低于《标准3》的4级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2"/>
      </w:pPr>
      <w:bookmarkStart w:id="57" w:name="_Toc29336"/>
      <w:r>
        <w:t>结论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窗墙比</w:t>
            </w:r>
          </w:p>
        </w:tc>
        <w:tc>
          <w:tcPr>
            <w:vAlign w:val="center"/>
          </w:tcPr>
          <w:p>
            <w:r>
              <w:t>适宜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挑空楼板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可开启面积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  <w:tc>
          <w:tcPr>
            <w:vAlign w:val="center"/>
          </w:tcPr>
          <w:p>
            <w:bookmarkStart w:id="58" w:name="_GoBack"/>
            <w:bookmarkEnd w:id="58"/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wMzdkMDRmNjQ1Y2M4NzA2YWUwMWUyNDA1ZWJmZTcifQ=="/>
  </w:docVars>
  <w:rsids>
    <w:rsidRoot w:val="70750649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7075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tmp14.dotx</Template>
  <Pages>10</Pages>
  <Words>3402</Words>
  <Characters>5248</Characters>
  <Lines>42</Lines>
  <Paragraphs>12</Paragraphs>
  <TotalTime>0</TotalTime>
  <ScaleCrop>false</ScaleCrop>
  <LinksUpToDate>false</LinksUpToDate>
  <CharactersWithSpaces>5416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2024-01-09T02:45:00Z</dcterms:created>
  <dc:creator>潼er阿</dc:creator>
  <cp:lastModifiedBy>潼er阿</cp:lastModifiedBy>
  <dcterms:modified xsi:type="dcterms:W3CDTF">2024-01-09T02:46:39Z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2A9E2A3586514150A45F2A05F21356EC_11</vt:lpwstr>
  </property>
  <property fmtid="{D5CDD505-2E9C-101B-9397-08002B2CF9AE}" pid="3" name="KSOProductBuildVer">
    <vt:lpwstr>2052-12.1.0.16120</vt:lpwstr>
  </property>
</Properties>
</file>