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2"/>
        </w:rPr>
      </w:pPr>
    </w:p>
    <w:p>
      <w:pPr>
        <w:spacing w:before="55"/>
        <w:ind w:left="96" w:right="197" w:firstLine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水池（箱）清洗、消毒管理规程</w:t>
      </w:r>
    </w:p>
    <w:p>
      <w:pPr>
        <w:pStyle w:val="3"/>
        <w:spacing w:before="9"/>
        <w:rPr>
          <w:rFonts w:ascii="黑体"/>
          <w:b/>
          <w:sz w:val="10"/>
        </w:rPr>
      </w:pPr>
    </w:p>
    <w:p>
      <w:pPr>
        <w:pStyle w:val="2"/>
        <w:numPr>
          <w:ilvl w:val="0"/>
          <w:numId w:val="1"/>
        </w:numPr>
        <w:tabs>
          <w:tab w:val="left" w:pos="429"/>
          <w:tab w:val="left" w:pos="431"/>
        </w:tabs>
        <w:spacing w:before="71" w:after="0" w:line="240" w:lineRule="auto"/>
        <w:ind w:left="430" w:right="0" w:hanging="319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范围</w:t>
      </w:r>
    </w:p>
    <w:p>
      <w:pPr>
        <w:pStyle w:val="3"/>
        <w:spacing w:before="7"/>
        <w:rPr>
          <w:rFonts w:ascii="黑体"/>
          <w:b/>
          <w:sz w:val="15"/>
        </w:rPr>
      </w:pPr>
    </w:p>
    <w:p>
      <w:pPr>
        <w:pStyle w:val="3"/>
        <w:ind w:left="533"/>
      </w:pPr>
      <w:r>
        <w:t>适用于</w:t>
      </w:r>
      <w:r>
        <w:rPr>
          <w:rFonts w:hint="eastAsia"/>
          <w:lang w:val="en-US" w:eastAsia="zh-CN"/>
        </w:rPr>
        <w:t>河南财经政法大学</w:t>
      </w:r>
      <w:r>
        <w:t>所属水池（箱）的清洗管理。</w:t>
      </w:r>
    </w:p>
    <w:p>
      <w:pPr>
        <w:pStyle w:val="3"/>
        <w:spacing w:before="7"/>
        <w:rPr>
          <w:sz w:val="15"/>
        </w:rPr>
      </w:pPr>
    </w:p>
    <w:p>
      <w:pPr>
        <w:pStyle w:val="2"/>
        <w:numPr>
          <w:ilvl w:val="0"/>
          <w:numId w:val="1"/>
        </w:numPr>
        <w:tabs>
          <w:tab w:val="left" w:pos="429"/>
          <w:tab w:val="left" w:pos="431"/>
        </w:tabs>
        <w:spacing w:before="0" w:after="0" w:line="240" w:lineRule="auto"/>
        <w:ind w:left="430" w:right="0" w:hanging="319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职责</w:t>
      </w:r>
    </w:p>
    <w:p>
      <w:pPr>
        <w:pStyle w:val="3"/>
        <w:spacing w:before="6"/>
        <w:rPr>
          <w:rFonts w:ascii="黑体"/>
          <w:b/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483"/>
        </w:tabs>
        <w:spacing w:before="1" w:after="0" w:line="240" w:lineRule="auto"/>
        <w:ind w:left="482" w:right="0" w:hanging="371"/>
        <w:jc w:val="left"/>
        <w:rPr>
          <w:sz w:val="21"/>
        </w:rPr>
      </w:pPr>
      <w:r>
        <w:rPr>
          <w:spacing w:val="-3"/>
          <w:sz w:val="21"/>
        </w:rPr>
        <w:t>本标准编制修订物业运营中心组织工程技术人员实施。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483"/>
        </w:tabs>
        <w:spacing w:before="0" w:after="0" w:line="240" w:lineRule="auto"/>
        <w:ind w:left="482" w:right="0" w:hanging="371"/>
        <w:jc w:val="left"/>
        <w:rPr>
          <w:sz w:val="21"/>
        </w:rPr>
      </w:pPr>
      <w:r>
        <w:rPr>
          <w:spacing w:val="-3"/>
          <w:sz w:val="21"/>
        </w:rPr>
        <w:t>项目工程负责人负责本项目管理区域水箱</w:t>
      </w:r>
      <w:r>
        <w:rPr>
          <w:sz w:val="21"/>
        </w:rPr>
        <w:t>（</w:t>
      </w:r>
      <w:r>
        <w:rPr>
          <w:spacing w:val="-3"/>
          <w:sz w:val="21"/>
        </w:rPr>
        <w:t>池</w:t>
      </w:r>
      <w:r>
        <w:rPr>
          <w:sz w:val="21"/>
        </w:rPr>
        <w:t>）</w:t>
      </w:r>
      <w:r>
        <w:rPr>
          <w:spacing w:val="-3"/>
          <w:sz w:val="21"/>
        </w:rPr>
        <w:t>的运行管理管理。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483"/>
        </w:tabs>
        <w:spacing w:before="0" w:after="0" w:line="240" w:lineRule="auto"/>
        <w:ind w:left="482" w:right="0" w:hanging="371"/>
        <w:jc w:val="left"/>
        <w:rPr>
          <w:sz w:val="21"/>
        </w:rPr>
      </w:pPr>
      <w:r>
        <w:rPr>
          <w:spacing w:val="-3"/>
          <w:sz w:val="21"/>
        </w:rPr>
        <w:t>巡视值班人员，接受工程负责人的直接管理并负责该系统设施所有的日常管理。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493"/>
        </w:tabs>
        <w:spacing w:before="0" w:after="0" w:line="417" w:lineRule="auto"/>
        <w:ind w:left="127" w:right="206" w:hanging="15"/>
        <w:jc w:val="left"/>
        <w:rPr>
          <w:sz w:val="21"/>
        </w:rPr>
      </w:pPr>
      <w:r>
        <w:rPr>
          <w:spacing w:val="-2"/>
          <w:sz w:val="21"/>
        </w:rPr>
        <w:t>水箱</w:t>
      </w:r>
      <w:r>
        <w:rPr>
          <w:spacing w:val="-3"/>
          <w:sz w:val="21"/>
        </w:rPr>
        <w:t>（</w:t>
      </w:r>
      <w:r>
        <w:rPr>
          <w:sz w:val="21"/>
        </w:rPr>
        <w:t>池</w:t>
      </w:r>
      <w:r>
        <w:rPr>
          <w:spacing w:val="-3"/>
          <w:sz w:val="21"/>
        </w:rPr>
        <w:t>）</w:t>
      </w:r>
      <w:r>
        <w:rPr>
          <w:spacing w:val="-4"/>
          <w:sz w:val="21"/>
        </w:rPr>
        <w:t xml:space="preserve">部分出现裂纹等情况时，巡查人员应在 </w:t>
      </w:r>
      <w:r>
        <w:rPr>
          <w:sz w:val="21"/>
        </w:rPr>
        <w:t>5</w:t>
      </w:r>
      <w:r>
        <w:rPr>
          <w:spacing w:val="-6"/>
          <w:sz w:val="21"/>
        </w:rPr>
        <w:t xml:space="preserve"> 分钟之内上报工程负责人，工程负责人接到汇报</w:t>
      </w:r>
      <w:r>
        <w:rPr>
          <w:spacing w:val="-26"/>
          <w:sz w:val="21"/>
        </w:rPr>
        <w:t xml:space="preserve">后 </w:t>
      </w:r>
      <w:r>
        <w:rPr>
          <w:sz w:val="21"/>
        </w:rPr>
        <w:t>10</w:t>
      </w:r>
      <w:r>
        <w:rPr>
          <w:spacing w:val="-8"/>
          <w:sz w:val="21"/>
        </w:rPr>
        <w:t xml:space="preserve"> 分钟内报告项目经理，项目经理接到报告后立即组织制定应对措施，并上报物业运营中心备案。</w:t>
      </w:r>
    </w:p>
    <w:p>
      <w:pPr>
        <w:pStyle w:val="8"/>
        <w:numPr>
          <w:ilvl w:val="1"/>
          <w:numId w:val="1"/>
        </w:numPr>
        <w:tabs>
          <w:tab w:val="left" w:pos="493"/>
        </w:tabs>
        <w:spacing w:before="0" w:after="0" w:line="417" w:lineRule="auto"/>
        <w:ind w:left="127" w:right="206" w:hanging="15"/>
        <w:jc w:val="left"/>
        <w:rPr>
          <w:sz w:val="21"/>
        </w:rPr>
      </w:pPr>
      <w:r>
        <w:rPr>
          <w:spacing w:val="-2"/>
          <w:sz w:val="21"/>
        </w:rPr>
        <w:t>水箱</w:t>
      </w:r>
      <w:r>
        <w:rPr>
          <w:spacing w:val="-3"/>
          <w:sz w:val="21"/>
        </w:rPr>
        <w:t>（</w:t>
      </w:r>
      <w:r>
        <w:rPr>
          <w:sz w:val="21"/>
        </w:rPr>
        <w:t>池</w:t>
      </w:r>
      <w:r>
        <w:rPr>
          <w:spacing w:val="-3"/>
          <w:sz w:val="21"/>
        </w:rPr>
        <w:t>）计划性清洗或水箱（</w:t>
      </w:r>
      <w:r>
        <w:rPr>
          <w:sz w:val="21"/>
        </w:rPr>
        <w:t>池</w:t>
      </w:r>
      <w:r>
        <w:rPr>
          <w:spacing w:val="-3"/>
          <w:sz w:val="21"/>
        </w:rPr>
        <w:t>）</w:t>
      </w:r>
      <w:r>
        <w:rPr>
          <w:spacing w:val="-5"/>
          <w:sz w:val="21"/>
        </w:rPr>
        <w:t xml:space="preserve">渗漏需要维修停用，工程部应提前 </w:t>
      </w:r>
      <w:r>
        <w:rPr>
          <w:sz w:val="21"/>
        </w:rPr>
        <w:t>1-5</w:t>
      </w:r>
      <w:r>
        <w:rPr>
          <w:spacing w:val="-6"/>
          <w:sz w:val="21"/>
        </w:rPr>
        <w:t xml:space="preserve"> 天通知项目经理，项目经</w:t>
      </w:r>
      <w:r>
        <w:rPr>
          <w:spacing w:val="-4"/>
          <w:sz w:val="21"/>
        </w:rPr>
        <w:t>理批准该行为的实施并协调其他部门配合。</w:t>
      </w:r>
    </w:p>
    <w:p>
      <w:pPr>
        <w:pStyle w:val="2"/>
        <w:numPr>
          <w:ilvl w:val="0"/>
          <w:numId w:val="1"/>
        </w:numPr>
        <w:tabs>
          <w:tab w:val="left" w:pos="429"/>
          <w:tab w:val="left" w:pos="431"/>
        </w:tabs>
        <w:spacing w:before="0" w:after="0" w:line="269" w:lineRule="exact"/>
        <w:ind w:left="430" w:right="0" w:hanging="319"/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工作实施</w:t>
      </w:r>
    </w:p>
    <w:p>
      <w:pPr>
        <w:pStyle w:val="3"/>
        <w:spacing w:before="7"/>
        <w:rPr>
          <w:rFonts w:ascii="黑体"/>
          <w:b/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417" w:lineRule="auto"/>
        <w:ind w:left="533" w:right="206" w:hanging="421"/>
        <w:jc w:val="left"/>
        <w:rPr>
          <w:sz w:val="21"/>
        </w:rPr>
      </w:pPr>
      <w:r>
        <w:rPr>
          <w:spacing w:val="-5"/>
          <w:sz w:val="21"/>
        </w:rPr>
        <w:t>项目工程部于每年底制订次年度</w:t>
      </w:r>
      <w:r>
        <w:rPr>
          <w:rFonts w:hint="eastAsia"/>
          <w:spacing w:val="-5"/>
          <w:sz w:val="21"/>
          <w:lang w:val="en-US" w:eastAsia="zh-CN"/>
        </w:rPr>
        <w:t>学校</w:t>
      </w:r>
      <w:r>
        <w:rPr>
          <w:spacing w:val="-5"/>
          <w:sz w:val="21"/>
        </w:rPr>
        <w:t>二次供水水箱清洗计划，由项目经理审核后，报</w:t>
      </w:r>
      <w:r>
        <w:rPr>
          <w:rFonts w:hint="eastAsia"/>
          <w:spacing w:val="-5"/>
          <w:sz w:val="21"/>
          <w:lang w:val="en-US" w:eastAsia="zh-CN"/>
        </w:rPr>
        <w:t>学校</w:t>
      </w:r>
      <w:r>
        <w:rPr>
          <w:spacing w:val="-5"/>
          <w:sz w:val="21"/>
        </w:rPr>
        <w:t>物业部</w:t>
      </w:r>
      <w:r>
        <w:rPr>
          <w:spacing w:val="-4"/>
          <w:sz w:val="21"/>
        </w:rPr>
        <w:t>批准，经批准后项目经理组织实施。</w:t>
      </w: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417" w:lineRule="auto"/>
        <w:ind w:left="533" w:right="206" w:hanging="421"/>
        <w:jc w:val="left"/>
        <w:rPr>
          <w:sz w:val="21"/>
        </w:rPr>
      </w:pPr>
      <w:r>
        <w:rPr>
          <w:spacing w:val="-5"/>
          <w:sz w:val="21"/>
        </w:rPr>
        <w:t>二次供水水箱清洗管理由项目工程人员负责，按计划要求对</w:t>
      </w:r>
      <w:r>
        <w:rPr>
          <w:rFonts w:hint="eastAsia"/>
          <w:spacing w:val="-5"/>
          <w:sz w:val="21"/>
          <w:lang w:val="en-US" w:eastAsia="zh-CN"/>
        </w:rPr>
        <w:t>学校</w:t>
      </w:r>
      <w:r>
        <w:rPr>
          <w:spacing w:val="-5"/>
          <w:sz w:val="21"/>
        </w:rPr>
        <w:t>二次生活水箱</w:t>
      </w:r>
      <w:r>
        <w:rPr>
          <w:sz w:val="21"/>
        </w:rPr>
        <w:t>（</w:t>
      </w:r>
      <w:r>
        <w:rPr>
          <w:spacing w:val="-3"/>
          <w:sz w:val="21"/>
        </w:rPr>
        <w:t>池</w:t>
      </w:r>
      <w:r>
        <w:rPr>
          <w:spacing w:val="-8"/>
          <w:sz w:val="21"/>
        </w:rPr>
        <w:t>）</w:t>
      </w:r>
      <w:r>
        <w:rPr>
          <w:spacing w:val="-3"/>
          <w:sz w:val="21"/>
        </w:rPr>
        <w:t>进行检查和保养，并将检查和保养情况分别记录。</w:t>
      </w:r>
    </w:p>
    <w:p>
      <w:pPr>
        <w:pStyle w:val="8"/>
        <w:numPr>
          <w:ilvl w:val="1"/>
          <w:numId w:val="1"/>
        </w:numPr>
        <w:tabs>
          <w:tab w:val="left" w:pos="638"/>
          <w:tab w:val="left" w:pos="639"/>
        </w:tabs>
        <w:spacing w:before="0" w:after="0" w:line="417" w:lineRule="auto"/>
        <w:ind w:left="533" w:right="208" w:hanging="421"/>
        <w:jc w:val="left"/>
        <w:rPr>
          <w:sz w:val="21"/>
        </w:rPr>
      </w:pPr>
      <w:r>
        <w:tab/>
      </w:r>
      <w:r>
        <w:rPr>
          <w:spacing w:val="-3"/>
          <w:sz w:val="21"/>
        </w:rPr>
        <w:t>每个水箱</w:t>
      </w:r>
      <w:r>
        <w:rPr>
          <w:sz w:val="21"/>
        </w:rPr>
        <w:t>（</w:t>
      </w:r>
      <w:r>
        <w:rPr>
          <w:spacing w:val="-3"/>
          <w:sz w:val="21"/>
        </w:rPr>
        <w:t>池</w:t>
      </w:r>
      <w:r>
        <w:rPr>
          <w:sz w:val="21"/>
        </w:rPr>
        <w:t>）</w:t>
      </w:r>
      <w:r>
        <w:rPr>
          <w:spacing w:val="-3"/>
          <w:sz w:val="21"/>
        </w:rPr>
        <w:t xml:space="preserve">应结构完好、无渗漏，检视口应加盖 </w:t>
      </w:r>
      <w:r>
        <w:rPr>
          <w:sz w:val="21"/>
        </w:rPr>
        <w:t>2</w:t>
      </w:r>
      <w:r>
        <w:rPr>
          <w:spacing w:val="-3"/>
          <w:sz w:val="21"/>
        </w:rPr>
        <w:t xml:space="preserve"> 把锁，一把锁钥匙由工程人员领用后放置工程办公室，另一把由项目客服部保管。水箱（</w:t>
      </w:r>
      <w:r>
        <w:rPr>
          <w:sz w:val="21"/>
        </w:rPr>
        <w:t>池</w:t>
      </w:r>
      <w:r>
        <w:rPr>
          <w:spacing w:val="-3"/>
          <w:sz w:val="21"/>
        </w:rPr>
        <w:t>）周围及顶盖应保持清洁。</w:t>
      </w:r>
    </w:p>
    <w:p>
      <w:pPr>
        <w:pStyle w:val="8"/>
        <w:numPr>
          <w:ilvl w:val="1"/>
          <w:numId w:val="1"/>
        </w:numPr>
        <w:tabs>
          <w:tab w:val="left" w:pos="638"/>
          <w:tab w:val="left" w:pos="639"/>
        </w:tabs>
        <w:spacing w:before="0" w:after="0" w:line="269" w:lineRule="exact"/>
        <w:ind w:left="638" w:right="0" w:hanging="527"/>
        <w:jc w:val="left"/>
        <w:rPr>
          <w:sz w:val="21"/>
        </w:rPr>
      </w:pPr>
      <w:r>
        <w:rPr>
          <w:spacing w:val="-2"/>
          <w:sz w:val="21"/>
        </w:rPr>
        <w:t>水箱</w:t>
      </w:r>
      <w:r>
        <w:rPr>
          <w:sz w:val="21"/>
        </w:rPr>
        <w:t>（</w:t>
      </w:r>
      <w:r>
        <w:rPr>
          <w:spacing w:val="-3"/>
          <w:sz w:val="21"/>
        </w:rPr>
        <w:t>池</w:t>
      </w:r>
      <w:r>
        <w:rPr>
          <w:sz w:val="21"/>
        </w:rPr>
        <w:t>）</w:t>
      </w:r>
      <w:r>
        <w:rPr>
          <w:spacing w:val="-2"/>
          <w:sz w:val="21"/>
        </w:rPr>
        <w:t>清洗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2"/>
          <w:numId w:val="1"/>
        </w:numPr>
        <w:tabs>
          <w:tab w:val="left" w:pos="745"/>
        </w:tabs>
        <w:spacing w:before="0" w:after="0" w:line="240" w:lineRule="auto"/>
        <w:ind w:left="744" w:right="0" w:hanging="633"/>
        <w:jc w:val="left"/>
        <w:rPr>
          <w:sz w:val="21"/>
        </w:rPr>
      </w:pPr>
      <w:r>
        <w:rPr>
          <w:spacing w:val="-2"/>
          <w:sz w:val="21"/>
        </w:rPr>
        <w:t>安全措施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240" w:lineRule="auto"/>
        <w:ind w:left="955" w:right="0" w:hanging="844"/>
        <w:jc w:val="left"/>
        <w:rPr>
          <w:sz w:val="21"/>
        </w:rPr>
      </w:pPr>
      <w:r>
        <w:rPr>
          <w:spacing w:val="-3"/>
          <w:sz w:val="21"/>
        </w:rPr>
        <w:t>操作人员必须持有正规医院的体检健康证明上岗。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417" w:lineRule="auto"/>
        <w:ind w:left="953" w:right="208" w:hanging="841"/>
        <w:jc w:val="left"/>
        <w:rPr>
          <w:sz w:val="21"/>
        </w:rPr>
      </w:pPr>
      <w:r>
        <w:rPr>
          <w:spacing w:val="-5"/>
          <w:sz w:val="21"/>
        </w:rPr>
        <w:t>清洗水箱</w:t>
      </w:r>
      <w:r>
        <w:rPr>
          <w:sz w:val="21"/>
        </w:rPr>
        <w:t>（</w:t>
      </w:r>
      <w:r>
        <w:rPr>
          <w:spacing w:val="-3"/>
          <w:sz w:val="21"/>
        </w:rPr>
        <w:t>池</w:t>
      </w:r>
      <w:r>
        <w:rPr>
          <w:spacing w:val="-8"/>
          <w:sz w:val="21"/>
        </w:rPr>
        <w:t>）</w:t>
      </w:r>
      <w:r>
        <w:rPr>
          <w:spacing w:val="-4"/>
          <w:sz w:val="21"/>
        </w:rPr>
        <w:t>时，应提前两天在</w:t>
      </w:r>
      <w:r>
        <w:rPr>
          <w:rFonts w:hint="eastAsia"/>
          <w:spacing w:val="-4"/>
          <w:sz w:val="21"/>
          <w:lang w:val="en-US" w:eastAsia="zh-CN"/>
        </w:rPr>
        <w:t>学校</w:t>
      </w:r>
      <w:r>
        <w:rPr>
          <w:spacing w:val="-4"/>
          <w:sz w:val="21"/>
        </w:rPr>
        <w:t>公共宣传栏或楼道口处张贴公告，说明停水原因和停水时</w:t>
      </w:r>
      <w:r>
        <w:rPr>
          <w:spacing w:val="-3"/>
          <w:sz w:val="21"/>
        </w:rPr>
        <w:t>间，通知</w:t>
      </w:r>
      <w:r>
        <w:rPr>
          <w:rFonts w:hint="eastAsia"/>
          <w:spacing w:val="-3"/>
          <w:sz w:val="21"/>
          <w:lang w:val="en-US" w:eastAsia="zh-CN"/>
        </w:rPr>
        <w:t>老师、学生、工作人员</w:t>
      </w:r>
      <w:r>
        <w:rPr>
          <w:spacing w:val="-3"/>
          <w:sz w:val="21"/>
        </w:rPr>
        <w:t>做好蓄水准备。</w:t>
      </w: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240" w:lineRule="auto"/>
        <w:ind w:left="955" w:right="0" w:hanging="844"/>
        <w:jc w:val="left"/>
        <w:rPr>
          <w:sz w:val="21"/>
        </w:rPr>
      </w:pPr>
      <w:r>
        <w:rPr>
          <w:spacing w:val="-8"/>
          <w:sz w:val="21"/>
        </w:rPr>
        <w:t xml:space="preserve">清洗作业时，光源采用 </w:t>
      </w:r>
      <w:r>
        <w:rPr>
          <w:sz w:val="21"/>
        </w:rPr>
        <w:t>24V</w:t>
      </w:r>
      <w:r>
        <w:rPr>
          <w:spacing w:val="-8"/>
          <w:sz w:val="21"/>
        </w:rPr>
        <w:t xml:space="preserve"> 以下的安全电压，最好用手电筒或应急灯。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240" w:lineRule="auto"/>
        <w:ind w:left="955" w:right="0" w:hanging="844"/>
        <w:jc w:val="left"/>
        <w:rPr>
          <w:sz w:val="21"/>
        </w:rPr>
      </w:pPr>
      <w:r>
        <w:rPr>
          <w:spacing w:val="-3"/>
          <w:sz w:val="21"/>
        </w:rPr>
        <w:t>如用排污泵抽污水，排污泵应装漏电开关，并在使用前进行试验，确保动作的可靠性。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1" w:after="0" w:line="417" w:lineRule="auto"/>
        <w:ind w:left="953" w:right="206" w:hanging="841"/>
        <w:jc w:val="left"/>
        <w:rPr>
          <w:sz w:val="21"/>
        </w:rPr>
      </w:pPr>
      <w:r>
        <w:rPr>
          <w:spacing w:val="-4"/>
          <w:sz w:val="21"/>
        </w:rPr>
        <w:t>水箱</w:t>
      </w:r>
      <w:r>
        <w:rPr>
          <w:sz w:val="21"/>
        </w:rPr>
        <w:t>（</w:t>
      </w:r>
      <w:r>
        <w:rPr>
          <w:spacing w:val="-3"/>
          <w:sz w:val="21"/>
        </w:rPr>
        <w:t>池</w:t>
      </w:r>
      <w:r>
        <w:rPr>
          <w:spacing w:val="-5"/>
          <w:sz w:val="21"/>
        </w:rPr>
        <w:t>）</w:t>
      </w:r>
      <w:r>
        <w:rPr>
          <w:spacing w:val="-4"/>
          <w:sz w:val="21"/>
        </w:rPr>
        <w:t>清洗消毒人员需戴防护眼镜和口罩，如果在水箱</w:t>
      </w:r>
      <w:r>
        <w:rPr>
          <w:spacing w:val="-3"/>
          <w:sz w:val="21"/>
        </w:rPr>
        <w:t>（</w:t>
      </w:r>
      <w:r>
        <w:rPr>
          <w:sz w:val="21"/>
        </w:rPr>
        <w:t>池</w:t>
      </w:r>
      <w:r>
        <w:rPr>
          <w:spacing w:val="-5"/>
          <w:sz w:val="21"/>
        </w:rPr>
        <w:t>）</w:t>
      </w:r>
      <w:r>
        <w:rPr>
          <w:spacing w:val="-4"/>
          <w:sz w:val="21"/>
        </w:rPr>
        <w:t>内感到头晕、气喘，则应立刻</w:t>
      </w:r>
      <w:r>
        <w:rPr>
          <w:spacing w:val="-3"/>
          <w:sz w:val="21"/>
        </w:rPr>
        <w:t>离开水箱（</w:t>
      </w:r>
      <w:r>
        <w:rPr>
          <w:sz w:val="21"/>
        </w:rPr>
        <w:t>池</w:t>
      </w:r>
      <w:r>
        <w:rPr>
          <w:spacing w:val="-3"/>
          <w:sz w:val="21"/>
        </w:rPr>
        <w:t>）到外面呼吸新鲜空气。</w:t>
      </w:r>
    </w:p>
    <w:p>
      <w:pPr>
        <w:pStyle w:val="8"/>
        <w:numPr>
          <w:ilvl w:val="3"/>
          <w:numId w:val="1"/>
        </w:numPr>
        <w:tabs>
          <w:tab w:val="left" w:pos="1058"/>
          <w:tab w:val="left" w:pos="1059"/>
        </w:tabs>
        <w:spacing w:before="0" w:after="0" w:line="269" w:lineRule="exact"/>
        <w:ind w:left="1058" w:right="0" w:hanging="947"/>
        <w:jc w:val="left"/>
        <w:rPr>
          <w:sz w:val="21"/>
        </w:rPr>
      </w:pPr>
      <w:r>
        <w:rPr>
          <w:spacing w:val="-3"/>
          <w:sz w:val="21"/>
        </w:rPr>
        <w:t>上下水箱</w:t>
      </w:r>
      <w:r>
        <w:rPr>
          <w:sz w:val="21"/>
        </w:rPr>
        <w:t>（</w:t>
      </w:r>
      <w:r>
        <w:rPr>
          <w:spacing w:val="-3"/>
          <w:sz w:val="21"/>
        </w:rPr>
        <w:t>池）时，应抓紧扶手，踩稳梯子，严防跌落。</w:t>
      </w:r>
    </w:p>
    <w:p>
      <w:pPr>
        <w:spacing w:after="0" w:line="269" w:lineRule="exact"/>
        <w:jc w:val="left"/>
        <w:rPr>
          <w:sz w:val="21"/>
        </w:rPr>
        <w:sectPr>
          <w:headerReference r:id="rId5" w:type="default"/>
          <w:type w:val="continuous"/>
          <w:pgSz w:w="11910" w:h="16840"/>
          <w:pgMar w:top="1400" w:right="920" w:bottom="280" w:left="1020" w:header="1153" w:footer="720" w:gutter="0"/>
          <w:cols w:space="720" w:num="1"/>
        </w:sectPr>
      </w:pPr>
    </w:p>
    <w:p>
      <w:pPr>
        <w:pStyle w:val="8"/>
        <w:numPr>
          <w:ilvl w:val="3"/>
          <w:numId w:val="1"/>
        </w:numPr>
        <w:tabs>
          <w:tab w:val="left" w:pos="1061"/>
          <w:tab w:val="left" w:pos="1062"/>
        </w:tabs>
        <w:spacing w:before="138" w:after="0" w:line="417" w:lineRule="auto"/>
        <w:ind w:left="953" w:right="214" w:hanging="841"/>
        <w:jc w:val="left"/>
        <w:rPr>
          <w:sz w:val="21"/>
        </w:rPr>
      </w:pPr>
      <w:r>
        <w:tab/>
      </w:r>
      <w:r>
        <w:rPr>
          <w:sz w:val="21"/>
        </w:rPr>
        <w:t>清洗过程中，水箱（池）</w:t>
      </w:r>
      <w:r>
        <w:rPr>
          <w:spacing w:val="-1"/>
          <w:sz w:val="21"/>
        </w:rPr>
        <w:t>外必须有一名监护人员负责临时照明、临时通风，防止清洗人员发生意外情况。</w:t>
      </w:r>
    </w:p>
    <w:p>
      <w:pPr>
        <w:pStyle w:val="8"/>
        <w:numPr>
          <w:ilvl w:val="2"/>
          <w:numId w:val="1"/>
        </w:numPr>
        <w:tabs>
          <w:tab w:val="left" w:pos="745"/>
        </w:tabs>
        <w:spacing w:before="0" w:after="0" w:line="240" w:lineRule="auto"/>
        <w:ind w:left="744" w:right="0" w:hanging="633"/>
        <w:jc w:val="left"/>
        <w:rPr>
          <w:sz w:val="21"/>
        </w:rPr>
      </w:pPr>
      <w:r>
        <w:rPr>
          <w:spacing w:val="-3"/>
          <w:sz w:val="21"/>
        </w:rPr>
        <w:t>水箱清洗前的准备工作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417" w:lineRule="auto"/>
        <w:ind w:left="953" w:right="208" w:hanging="841"/>
        <w:jc w:val="left"/>
        <w:rPr>
          <w:sz w:val="21"/>
        </w:rPr>
      </w:pPr>
      <w:r>
        <w:rPr>
          <w:spacing w:val="-4"/>
          <w:sz w:val="21"/>
        </w:rPr>
        <w:t>根据水箱</w:t>
      </w:r>
      <w:r>
        <w:rPr>
          <w:sz w:val="21"/>
        </w:rPr>
        <w:t>（</w:t>
      </w:r>
      <w:r>
        <w:rPr>
          <w:spacing w:val="-3"/>
          <w:sz w:val="21"/>
        </w:rPr>
        <w:t>水池）容量，适时关闭水箱（</w:t>
      </w:r>
      <w:r>
        <w:rPr>
          <w:sz w:val="21"/>
        </w:rPr>
        <w:t>池</w:t>
      </w:r>
      <w:r>
        <w:rPr>
          <w:spacing w:val="-5"/>
          <w:sz w:val="21"/>
        </w:rPr>
        <w:t>）</w:t>
      </w:r>
      <w:r>
        <w:rPr>
          <w:spacing w:val="-4"/>
          <w:sz w:val="21"/>
        </w:rPr>
        <w:t>进水阀门，安排临时通风设施、临时水源及清洗时</w:t>
      </w:r>
      <w:r>
        <w:rPr>
          <w:spacing w:val="-3"/>
          <w:sz w:val="21"/>
        </w:rPr>
        <w:t>的保护措施，打开水箱（</w:t>
      </w:r>
      <w:r>
        <w:rPr>
          <w:sz w:val="21"/>
        </w:rPr>
        <w:t>池）</w:t>
      </w:r>
      <w:r>
        <w:rPr>
          <w:spacing w:val="-3"/>
          <w:sz w:val="21"/>
        </w:rPr>
        <w:t>进口盖。</w:t>
      </w: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269" w:lineRule="exact"/>
        <w:ind w:left="955" w:right="0" w:hanging="844"/>
        <w:jc w:val="left"/>
        <w:rPr>
          <w:sz w:val="21"/>
        </w:rPr>
      </w:pPr>
      <w:r>
        <w:rPr>
          <w:spacing w:val="-3"/>
          <w:sz w:val="21"/>
        </w:rPr>
        <w:t>准备好卫生防疫站规定的消毒液。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1" w:after="0" w:line="240" w:lineRule="auto"/>
        <w:ind w:left="955" w:right="0" w:hanging="844"/>
        <w:jc w:val="left"/>
        <w:rPr>
          <w:sz w:val="21"/>
        </w:rPr>
      </w:pPr>
      <w:r>
        <w:rPr>
          <w:spacing w:val="-3"/>
          <w:sz w:val="21"/>
        </w:rPr>
        <w:t>相关设备：潜水泵、应急灯</w:t>
      </w:r>
      <w:r>
        <w:rPr>
          <w:sz w:val="21"/>
        </w:rPr>
        <w:t>（</w:t>
      </w:r>
      <w:r>
        <w:rPr>
          <w:spacing w:val="-3"/>
          <w:sz w:val="21"/>
        </w:rPr>
        <w:t>或手电筒</w:t>
      </w:r>
      <w:r>
        <w:rPr>
          <w:spacing w:val="-108"/>
          <w:sz w:val="21"/>
        </w:rPr>
        <w:t>）</w:t>
      </w:r>
      <w:r>
        <w:rPr>
          <w:sz w:val="21"/>
        </w:rPr>
        <w:t>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3"/>
          <w:numId w:val="1"/>
        </w:numPr>
        <w:tabs>
          <w:tab w:val="left" w:pos="956"/>
        </w:tabs>
        <w:spacing w:before="0" w:after="0" w:line="240" w:lineRule="auto"/>
        <w:ind w:left="955" w:right="0" w:hanging="844"/>
        <w:jc w:val="left"/>
        <w:rPr>
          <w:sz w:val="21"/>
        </w:rPr>
      </w:pPr>
      <w:r>
        <w:rPr>
          <w:spacing w:val="-3"/>
          <w:sz w:val="21"/>
        </w:rPr>
        <w:t>清洗工具：扫把、尼龙刷或钢刷、尼龙绳、水桶、眼镜、口罩、胶皮手套等。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1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清洗水箱的工作人员要具有卫生防疫部门核发的体检合格证，并经卫生防疫部门培训合格。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240" w:lineRule="auto"/>
        <w:ind w:left="535" w:right="0" w:hanging="424"/>
        <w:jc w:val="left"/>
        <w:rPr>
          <w:sz w:val="21"/>
        </w:rPr>
      </w:pPr>
      <w:r>
        <w:rPr>
          <w:spacing w:val="-15"/>
          <w:sz w:val="21"/>
        </w:rPr>
        <w:t xml:space="preserve">停水前 </w:t>
      </w:r>
      <w:r>
        <w:rPr>
          <w:sz w:val="21"/>
        </w:rPr>
        <w:t>24</w:t>
      </w:r>
      <w:r>
        <w:rPr>
          <w:spacing w:val="-9"/>
          <w:sz w:val="21"/>
        </w:rPr>
        <w:t xml:space="preserve"> 小时应通知用户，以求户主的理解和支持。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安排排风设备、胶皮管、水桶、铁锤及清洁用工具等。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专用工具使用前后应进行清洗消毒。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1" w:after="0" w:line="417" w:lineRule="auto"/>
        <w:ind w:left="533" w:right="206" w:hanging="421"/>
        <w:jc w:val="left"/>
        <w:rPr>
          <w:sz w:val="21"/>
        </w:rPr>
      </w:pPr>
      <w:r>
        <w:rPr>
          <w:spacing w:val="-7"/>
          <w:sz w:val="21"/>
        </w:rPr>
        <w:t>关闭进水总阀，关闭水箱之间的连通阀门，开启排水阀，排空水池、水箱中的水，排水阀门处于开启位置。</w:t>
      </w: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417" w:lineRule="auto"/>
        <w:ind w:left="636" w:right="209" w:hanging="527"/>
        <w:jc w:val="left"/>
        <w:rPr>
          <w:sz w:val="21"/>
        </w:rPr>
      </w:pPr>
      <w:r>
        <w:rPr>
          <w:spacing w:val="-6"/>
          <w:sz w:val="21"/>
        </w:rPr>
        <w:t xml:space="preserve">用鼓风机对着水池、水箱吹风 </w:t>
      </w:r>
      <w:r>
        <w:rPr>
          <w:sz w:val="21"/>
        </w:rPr>
        <w:t>2h</w:t>
      </w:r>
      <w:r>
        <w:rPr>
          <w:spacing w:val="-8"/>
          <w:sz w:val="21"/>
        </w:rPr>
        <w:t xml:space="preserve"> 以上，以使空气流通，排除水池、水箱中的有毒气体，吹进新鲜空气。</w:t>
      </w:r>
    </w:p>
    <w:p>
      <w:pPr>
        <w:pStyle w:val="8"/>
        <w:numPr>
          <w:ilvl w:val="1"/>
          <w:numId w:val="1"/>
        </w:numPr>
        <w:tabs>
          <w:tab w:val="left" w:pos="584"/>
        </w:tabs>
        <w:spacing w:before="0" w:after="0" w:line="240" w:lineRule="auto"/>
        <w:ind w:left="583" w:right="0" w:hanging="474"/>
        <w:jc w:val="left"/>
        <w:rPr>
          <w:sz w:val="21"/>
        </w:rPr>
      </w:pPr>
      <w:r>
        <w:rPr>
          <w:spacing w:val="-3"/>
          <w:sz w:val="21"/>
        </w:rPr>
        <w:t>将燃着的蜡烛放入池中，确保其不因缺氧而熄灭时方可使用手电筒或低压照明进入水池。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639"/>
        </w:tabs>
        <w:spacing w:before="0" w:after="0" w:line="417" w:lineRule="auto"/>
        <w:ind w:left="636" w:right="214" w:hanging="527"/>
        <w:jc w:val="left"/>
        <w:rPr>
          <w:sz w:val="21"/>
        </w:rPr>
      </w:pPr>
      <w:r>
        <w:rPr>
          <w:spacing w:val="-1"/>
          <w:sz w:val="21"/>
        </w:rPr>
        <w:t>清洗人员穿戴好清洁工作衣、长靴、橡胶手套、防护眼镜和口罩等，并带好清洗专用工具进入水箱或水池。</w:t>
      </w: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269" w:lineRule="exact"/>
        <w:ind w:left="636" w:right="0" w:hanging="527"/>
        <w:jc w:val="left"/>
        <w:rPr>
          <w:sz w:val="21"/>
        </w:rPr>
      </w:pPr>
      <w:r>
        <w:rPr>
          <w:spacing w:val="-3"/>
          <w:sz w:val="21"/>
        </w:rPr>
        <w:t>清洗人员最少两名，一人下水箱操作，另一人在水箱顶部做监护人员。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240" w:lineRule="auto"/>
        <w:ind w:left="636" w:right="0" w:hanging="527"/>
        <w:jc w:val="left"/>
        <w:rPr>
          <w:sz w:val="21"/>
        </w:rPr>
      </w:pPr>
      <w:r>
        <w:rPr>
          <w:spacing w:val="-3"/>
          <w:sz w:val="21"/>
        </w:rPr>
        <w:t>打开排污阀门，排尽水箱内沉淀物，为防止沉淀物进入供水管道，应堵塞供水管道入口。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637"/>
        </w:tabs>
        <w:spacing w:before="1" w:after="0" w:line="417" w:lineRule="auto"/>
        <w:ind w:left="636" w:right="105" w:hanging="527"/>
        <w:jc w:val="left"/>
        <w:rPr>
          <w:sz w:val="21"/>
        </w:rPr>
      </w:pPr>
      <w:r>
        <w:rPr>
          <w:spacing w:val="-5"/>
          <w:sz w:val="21"/>
        </w:rPr>
        <w:t xml:space="preserve">清洗人员进入水箱进行清扫、冲刷，先顶后底，由里及外，依次进行，同时对水池中的管道、阀门、浮球、水位控制电路进行检查维修。洗刷完毕后排尽污水，用水冲洗，拿走供水管道入口堵塞物， </w:t>
      </w:r>
      <w:r>
        <w:rPr>
          <w:spacing w:val="-4"/>
          <w:sz w:val="21"/>
        </w:rPr>
        <w:t>关闭排水阀门。</w:t>
      </w: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240" w:lineRule="auto"/>
        <w:ind w:left="636" w:right="0" w:hanging="527"/>
        <w:jc w:val="left"/>
        <w:rPr>
          <w:sz w:val="21"/>
        </w:rPr>
      </w:pPr>
      <w:r>
        <w:rPr>
          <w:spacing w:val="-12"/>
          <w:sz w:val="21"/>
        </w:rPr>
        <w:t xml:space="preserve">用配制成 </w:t>
      </w:r>
      <w:r>
        <w:rPr>
          <w:sz w:val="21"/>
        </w:rPr>
        <w:t>200</w:t>
      </w:r>
      <w:r>
        <w:rPr>
          <w:spacing w:val="-8"/>
          <w:sz w:val="21"/>
        </w:rPr>
        <w:t xml:space="preserve"> 毫克∕升的二氧化氯消毒液对水池和水箱内壁喷涂，最后涂刷至水箱顶部人孔口。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639"/>
        </w:tabs>
        <w:spacing w:before="0" w:after="0" w:line="417" w:lineRule="auto"/>
        <w:ind w:left="636" w:right="211" w:hanging="527"/>
        <w:jc w:val="left"/>
        <w:rPr>
          <w:sz w:val="21"/>
        </w:rPr>
      </w:pPr>
      <w:r>
        <w:rPr>
          <w:spacing w:val="-1"/>
          <w:sz w:val="21"/>
        </w:rPr>
        <w:t>清洗人员退出水箱，清点所带入的物品和工具无误后，再打开水池进水阀门，开启水泵，向水箱供</w:t>
      </w:r>
      <w:r>
        <w:rPr>
          <w:sz w:val="21"/>
        </w:rPr>
        <w:t>水。</w:t>
      </w: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269" w:lineRule="exact"/>
        <w:ind w:left="636" w:right="0" w:hanging="527"/>
        <w:jc w:val="left"/>
        <w:rPr>
          <w:sz w:val="21"/>
        </w:rPr>
      </w:pPr>
      <w:r>
        <w:rPr>
          <w:spacing w:val="-3"/>
          <w:sz w:val="21"/>
        </w:rPr>
        <w:t>清洗人员取水样送卫生防疫站作水质检测。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240" w:lineRule="auto"/>
        <w:ind w:left="636" w:right="0" w:hanging="527"/>
        <w:jc w:val="left"/>
        <w:rPr>
          <w:sz w:val="21"/>
        </w:rPr>
      </w:pPr>
      <w:r>
        <w:rPr>
          <w:spacing w:val="-3"/>
          <w:sz w:val="21"/>
        </w:rPr>
        <w:t>水箱进口加盖上锁，溢水管口加上网罩。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637"/>
        </w:tabs>
        <w:spacing w:before="0" w:after="0" w:line="240" w:lineRule="auto"/>
        <w:ind w:left="636" w:right="0" w:hanging="527"/>
        <w:jc w:val="left"/>
        <w:rPr>
          <w:sz w:val="21"/>
        </w:rPr>
      </w:pPr>
      <w:r>
        <w:rPr>
          <w:spacing w:val="-7"/>
          <w:sz w:val="21"/>
        </w:rPr>
        <w:t>水箱清洗后要及时做好记录，填写《水箱清洗消毒记录表》。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00" w:right="920" w:bottom="280" w:left="1020" w:header="1153" w:footer="0" w:gutter="0"/>
          <w:cols w:space="720" w:num="1"/>
        </w:sectPr>
      </w:pPr>
    </w:p>
    <w:p>
      <w:pPr>
        <w:pStyle w:val="8"/>
        <w:numPr>
          <w:ilvl w:val="1"/>
          <w:numId w:val="1"/>
        </w:numPr>
        <w:tabs>
          <w:tab w:val="left" w:pos="637"/>
        </w:tabs>
        <w:spacing w:before="138" w:after="0" w:line="240" w:lineRule="auto"/>
        <w:ind w:left="636" w:right="0" w:hanging="527"/>
        <w:jc w:val="left"/>
        <w:rPr>
          <w:sz w:val="21"/>
        </w:rPr>
      </w:pPr>
      <w:r>
        <w:rPr>
          <w:spacing w:val="-3"/>
          <w:sz w:val="21"/>
        </w:rPr>
        <w:t>若屋顶有两个以上水箱供水时，应轮流清洗，以避免停水。</w:t>
      </w:r>
    </w:p>
    <w:p>
      <w:pPr>
        <w:pStyle w:val="3"/>
        <w:spacing w:before="7"/>
        <w:rPr>
          <w:sz w:val="15"/>
        </w:rPr>
      </w:pPr>
    </w:p>
    <w:p>
      <w:pPr>
        <w:pStyle w:val="2"/>
        <w:numPr>
          <w:ilvl w:val="0"/>
          <w:numId w:val="1"/>
        </w:numPr>
        <w:tabs>
          <w:tab w:val="left" w:pos="429"/>
          <w:tab w:val="left" w:pos="431"/>
        </w:tabs>
        <w:spacing w:before="0" w:after="0" w:line="240" w:lineRule="auto"/>
        <w:ind w:left="430" w:right="0" w:hanging="319"/>
        <w:jc w:val="left"/>
      </w:pPr>
      <w:r>
        <w:t>支持文件及记录</w:t>
      </w:r>
    </w:p>
    <w:p>
      <w:pPr>
        <w:pStyle w:val="3"/>
        <w:spacing w:before="7"/>
        <w:rPr>
          <w:b/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《水质常规指标及限值表》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1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《饮用水中消毒剂常规指标及要求》</w:t>
      </w:r>
    </w:p>
    <w:p>
      <w:pPr>
        <w:pStyle w:val="3"/>
        <w:spacing w:before="6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</w:tabs>
        <w:spacing w:before="0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《水质非常规指标及限值》</w:t>
      </w:r>
    </w:p>
    <w:p>
      <w:pPr>
        <w:pStyle w:val="3"/>
        <w:spacing w:before="7"/>
        <w:rPr>
          <w:sz w:val="15"/>
        </w:rPr>
      </w:pPr>
    </w:p>
    <w:p>
      <w:pPr>
        <w:pStyle w:val="8"/>
        <w:numPr>
          <w:ilvl w:val="1"/>
          <w:numId w:val="1"/>
        </w:numPr>
        <w:tabs>
          <w:tab w:val="left" w:pos="536"/>
          <w:tab w:val="left" w:pos="7150"/>
        </w:tabs>
        <w:spacing w:before="0" w:after="0" w:line="240" w:lineRule="auto"/>
        <w:ind w:left="535" w:right="0" w:hanging="424"/>
        <w:jc w:val="left"/>
        <w:rPr>
          <w:sz w:val="21"/>
        </w:rPr>
      </w:pPr>
      <w:r>
        <w:rPr>
          <w:spacing w:val="-3"/>
          <w:sz w:val="21"/>
        </w:rPr>
        <w:t>《</w:t>
      </w:r>
      <w:r>
        <w:rPr>
          <w:sz w:val="21"/>
        </w:rPr>
        <w:t>水</w:t>
      </w:r>
      <w:r>
        <w:rPr>
          <w:spacing w:val="-3"/>
          <w:sz w:val="21"/>
        </w:rPr>
        <w:t>箱</w:t>
      </w:r>
      <w:r>
        <w:rPr>
          <w:sz w:val="21"/>
        </w:rPr>
        <w:t>清</w:t>
      </w:r>
      <w:r>
        <w:rPr>
          <w:spacing w:val="-3"/>
          <w:sz w:val="21"/>
        </w:rPr>
        <w:t>洗</w:t>
      </w:r>
      <w:r>
        <w:rPr>
          <w:sz w:val="21"/>
        </w:rPr>
        <w:t>消</w:t>
      </w:r>
      <w:r>
        <w:rPr>
          <w:spacing w:val="-3"/>
          <w:sz w:val="21"/>
        </w:rPr>
        <w:t>毒</w:t>
      </w:r>
      <w:r>
        <w:rPr>
          <w:sz w:val="21"/>
        </w:rPr>
        <w:t>记</w:t>
      </w:r>
      <w:r>
        <w:rPr>
          <w:spacing w:val="-3"/>
          <w:sz w:val="21"/>
        </w:rPr>
        <w:t>录</w:t>
      </w:r>
      <w:r>
        <w:rPr>
          <w:sz w:val="21"/>
        </w:rPr>
        <w:t>表</w:t>
      </w:r>
      <w:r>
        <w:rPr>
          <w:rFonts w:hint="eastAsia"/>
          <w:sz w:val="21"/>
          <w:lang w:eastAsia="zh-CN"/>
        </w:rPr>
        <w:t>》</w:t>
      </w:r>
      <w:bookmarkStart w:id="0" w:name="_GoBack"/>
      <w:bookmarkEnd w:id="0"/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00" w:right="920" w:bottom="280" w:left="1020" w:header="1153" w:footer="0" w:gutter="0"/>
          <w:cols w:space="720" w:num="1"/>
        </w:sectPr>
      </w:pPr>
    </w:p>
    <w:p>
      <w:pPr>
        <w:pStyle w:val="2"/>
        <w:spacing w:before="61"/>
        <w:ind w:left="96" w:right="6985" w:firstLine="0"/>
        <w:jc w:val="center"/>
      </w:pPr>
      <w:r>
        <w:t>4.1《水质常规指标及限值表》</w:t>
      </w:r>
    </w:p>
    <w:p>
      <w:pPr>
        <w:spacing w:before="44"/>
        <w:ind w:left="96" w:right="194" w:firstLine="0"/>
        <w:jc w:val="center"/>
        <w:rPr>
          <w:b/>
          <w:sz w:val="21"/>
        </w:rPr>
      </w:pPr>
      <w:r>
        <w:rPr>
          <w:b/>
          <w:sz w:val="21"/>
        </w:rPr>
        <w:t>水质常规指标及限值</w:t>
      </w:r>
    </w:p>
    <w:p>
      <w:pPr>
        <w:pStyle w:val="3"/>
        <w:spacing w:before="11"/>
        <w:rPr>
          <w:b/>
          <w:sz w:val="25"/>
        </w:rPr>
      </w:pPr>
    </w:p>
    <w:tbl>
      <w:tblPr>
        <w:tblStyle w:val="5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3"/>
        <w:gridCol w:w="3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tabs>
                <w:tab w:val="left" w:pos="641"/>
              </w:tabs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指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标</w:t>
            </w:r>
          </w:p>
        </w:tc>
        <w:tc>
          <w:tcPr>
            <w:tcW w:w="3658" w:type="dxa"/>
          </w:tcPr>
          <w:p>
            <w:pPr>
              <w:pStyle w:val="9"/>
              <w:tabs>
                <w:tab w:val="left" w:pos="643"/>
              </w:tabs>
              <w:spacing w:before="7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01" w:type="dxa"/>
            <w:gridSpan w:val="2"/>
          </w:tcPr>
          <w:p>
            <w:pPr>
              <w:pStyle w:val="9"/>
              <w:spacing w:before="67" w:line="272" w:lineRule="exact"/>
              <w:rPr>
                <w:sz w:val="11"/>
              </w:rPr>
            </w:pPr>
            <w:r>
              <w:rPr>
                <w:sz w:val="21"/>
              </w:rPr>
              <w:t>1、微生物指标</w:t>
            </w:r>
            <w:r>
              <w:rPr>
                <w:position w:val="11"/>
                <w:sz w:val="11"/>
              </w:rPr>
              <w:t>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总大肠菌群（MPN/100mL 或 CFU/100mL）</w:t>
            </w:r>
          </w:p>
        </w:tc>
        <w:tc>
          <w:tcPr>
            <w:tcW w:w="3658" w:type="dxa"/>
          </w:tcPr>
          <w:p>
            <w:pPr>
              <w:pStyle w:val="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不得检出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43" w:type="dxa"/>
          </w:tcPr>
          <w:p>
            <w:pPr>
              <w:pStyle w:val="9"/>
              <w:spacing w:before="80"/>
              <w:rPr>
                <w:sz w:val="21"/>
              </w:rPr>
            </w:pPr>
            <w:r>
              <w:rPr>
                <w:sz w:val="21"/>
              </w:rPr>
              <w:t>耐热大肠菌群（MPN/100mL 或 CFU/100mL）</w:t>
            </w:r>
          </w:p>
        </w:tc>
        <w:tc>
          <w:tcPr>
            <w:tcW w:w="3658" w:type="dxa"/>
          </w:tcPr>
          <w:p>
            <w:pPr>
              <w:pStyle w:val="9"/>
              <w:spacing w:before="8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不得检出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大肠埃希氏菌（MPN/100mL 或 CFU/100mL）</w:t>
            </w:r>
          </w:p>
        </w:tc>
        <w:tc>
          <w:tcPr>
            <w:tcW w:w="3658" w:type="dxa"/>
          </w:tcPr>
          <w:p>
            <w:pPr>
              <w:pStyle w:val="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不得检出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菌落总数（CFU/mL）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01" w:type="dxa"/>
            <w:gridSpan w:val="2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2、毒理指标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砷（mg/L）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镉（mg/L）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43" w:type="dxa"/>
          </w:tcPr>
          <w:p>
            <w:pPr>
              <w:pStyle w:val="9"/>
              <w:spacing w:before="80"/>
              <w:rPr>
                <w:sz w:val="21"/>
              </w:rPr>
            </w:pPr>
            <w:r>
              <w:rPr>
                <w:sz w:val="21"/>
              </w:rPr>
              <w:t>铬（六价，mg/L）</w:t>
            </w:r>
          </w:p>
        </w:tc>
        <w:tc>
          <w:tcPr>
            <w:tcW w:w="3658" w:type="dxa"/>
          </w:tcPr>
          <w:p>
            <w:pPr>
              <w:pStyle w:val="9"/>
              <w:spacing w:before="8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铅（mg/L）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汞（mg/L）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硒（mg/L）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氰化物（mg/L）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氟化物（mg/L）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043" w:type="dxa"/>
          </w:tcPr>
          <w:p>
            <w:pPr>
              <w:pStyle w:val="9"/>
              <w:spacing w:before="80" w:line="240" w:lineRule="auto"/>
              <w:rPr>
                <w:sz w:val="21"/>
              </w:rPr>
            </w:pPr>
            <w:r>
              <w:rPr>
                <w:spacing w:val="-1"/>
                <w:sz w:val="21"/>
              </w:rPr>
              <w:t>硝酸盐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52"/>
                <w:sz w:val="21"/>
              </w:rPr>
              <w:t>以</w:t>
            </w:r>
            <w:r>
              <w:rPr>
                <w:sz w:val="21"/>
              </w:rPr>
              <w:t>N</w:t>
            </w:r>
            <w:r>
              <w:rPr>
                <w:spacing w:val="-28"/>
                <w:sz w:val="21"/>
              </w:rPr>
              <w:t xml:space="preserve"> 计</w:t>
            </w:r>
            <w:r>
              <w:rPr>
                <w:sz w:val="21"/>
              </w:rPr>
              <w:t>，mg/L）</w:t>
            </w:r>
          </w:p>
        </w:tc>
        <w:tc>
          <w:tcPr>
            <w:tcW w:w="3658" w:type="dxa"/>
          </w:tcPr>
          <w:p>
            <w:pPr>
              <w:pStyle w:val="9"/>
              <w:spacing w:before="80" w:line="240" w:lineRule="auto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  <w:p>
            <w:pPr>
              <w:pStyle w:val="9"/>
              <w:spacing w:before="9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地下水源限制时为 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三氯甲烷（mg/L）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四氯化碳（mg/L）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溴酸盐（使用臭氧时，mg/L）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甲醛（使用臭氧时，mg/L）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亚氯酸盐（使用二氧化氯消毒时，mg/L）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43" w:type="dxa"/>
          </w:tcPr>
          <w:p>
            <w:pPr>
              <w:pStyle w:val="9"/>
              <w:spacing w:before="80"/>
              <w:rPr>
                <w:sz w:val="21"/>
              </w:rPr>
            </w:pPr>
            <w:r>
              <w:rPr>
                <w:sz w:val="21"/>
              </w:rPr>
              <w:t>氯酸盐（使用复合二氧化氯消毒时，mg/L）</w:t>
            </w:r>
          </w:p>
        </w:tc>
        <w:tc>
          <w:tcPr>
            <w:tcW w:w="3658" w:type="dxa"/>
          </w:tcPr>
          <w:p>
            <w:pPr>
              <w:pStyle w:val="9"/>
              <w:spacing w:before="8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01" w:type="dxa"/>
            <w:gridSpan w:val="2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3、感官性状和一般化学指标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色度（铂钴色度单位）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43" w:type="dxa"/>
          </w:tcPr>
          <w:p>
            <w:pPr>
              <w:pStyle w:val="9"/>
              <w:spacing w:before="1" w:line="240" w:lineRule="auto"/>
              <w:ind w:left="0"/>
              <w:rPr>
                <w:b/>
                <w:sz w:val="20"/>
              </w:rPr>
            </w:pPr>
          </w:p>
          <w:p>
            <w:pPr>
              <w:pStyle w:val="9"/>
              <w:spacing w:before="0" w:line="240" w:lineRule="auto"/>
              <w:rPr>
                <w:sz w:val="21"/>
              </w:rPr>
            </w:pPr>
            <w:r>
              <w:rPr>
                <w:sz w:val="21"/>
              </w:rPr>
              <w:t>浑浊度（NTU-散射浊度单位）</w:t>
            </w:r>
          </w:p>
        </w:tc>
        <w:tc>
          <w:tcPr>
            <w:tcW w:w="3658" w:type="dxa"/>
          </w:tcPr>
          <w:p>
            <w:pPr>
              <w:pStyle w:val="9"/>
              <w:spacing w:line="240" w:lineRule="auto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  <w:p>
            <w:pPr>
              <w:pStyle w:val="9"/>
              <w:spacing w:before="9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水源与净水技术条件限制时为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臭和味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无异臭、异味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肉眼可见物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43" w:type="dxa"/>
          </w:tcPr>
          <w:p>
            <w:pPr>
              <w:pStyle w:val="9"/>
              <w:spacing w:before="80"/>
              <w:rPr>
                <w:sz w:val="21"/>
              </w:rPr>
            </w:pPr>
            <w:r>
              <w:rPr>
                <w:sz w:val="21"/>
              </w:rPr>
              <w:t>pH （pH 单位）</w:t>
            </w:r>
          </w:p>
        </w:tc>
        <w:tc>
          <w:tcPr>
            <w:tcW w:w="3658" w:type="dxa"/>
          </w:tcPr>
          <w:p>
            <w:pPr>
              <w:pStyle w:val="9"/>
              <w:spacing w:before="8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不小于 6.5 且不大于 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铝（mg/L）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铁（mg/L）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锰（mg/L）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铜（mg/L）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43" w:type="dxa"/>
          </w:tcPr>
          <w:p>
            <w:pPr>
              <w:pStyle w:val="9"/>
              <w:spacing w:line="264" w:lineRule="exact"/>
              <w:rPr>
                <w:sz w:val="21"/>
              </w:rPr>
            </w:pPr>
            <w:r>
              <w:rPr>
                <w:sz w:val="21"/>
              </w:rPr>
              <w:t>锌（mg/L）</w:t>
            </w:r>
          </w:p>
        </w:tc>
        <w:tc>
          <w:tcPr>
            <w:tcW w:w="3658" w:type="dxa"/>
          </w:tcPr>
          <w:p>
            <w:pPr>
              <w:pStyle w:val="9"/>
              <w:spacing w:line="264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</w:tr>
    </w:tbl>
    <w:p>
      <w:pPr>
        <w:spacing w:after="0" w:line="264" w:lineRule="exact"/>
        <w:jc w:val="center"/>
        <w:rPr>
          <w:sz w:val="21"/>
        </w:rPr>
        <w:sectPr>
          <w:pgSz w:w="11910" w:h="16840"/>
          <w:pgMar w:top="1400" w:right="920" w:bottom="280" w:left="1020" w:header="1153" w:footer="0" w:gutter="0"/>
          <w:cols w:space="720" w:num="1"/>
        </w:sectPr>
      </w:pPr>
    </w:p>
    <w:p>
      <w:pPr>
        <w:pStyle w:val="3"/>
        <w:spacing w:before="4"/>
        <w:rPr>
          <w:rFonts w:ascii="Times New Roman"/>
          <w:sz w:val="3"/>
        </w:rPr>
      </w:pPr>
    </w:p>
    <w:tbl>
      <w:tblPr>
        <w:tblStyle w:val="5"/>
        <w:tblW w:w="0" w:type="auto"/>
        <w:tblInd w:w="5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3"/>
        <w:gridCol w:w="3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氯化物（mg/L）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硫酸盐（mg/L）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043" w:type="dxa"/>
          </w:tcPr>
          <w:p>
            <w:pPr>
              <w:pStyle w:val="9"/>
              <w:spacing w:before="80"/>
              <w:rPr>
                <w:sz w:val="21"/>
              </w:rPr>
            </w:pPr>
            <w:r>
              <w:rPr>
                <w:sz w:val="21"/>
              </w:rPr>
              <w:t>溶解性总固体（mg/L）</w:t>
            </w:r>
          </w:p>
        </w:tc>
        <w:tc>
          <w:tcPr>
            <w:tcW w:w="3658" w:type="dxa"/>
          </w:tcPr>
          <w:p>
            <w:pPr>
              <w:pStyle w:val="9"/>
              <w:spacing w:before="80"/>
              <w:ind w:left="0" w:right="1605"/>
              <w:jc w:val="right"/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position w:val="1"/>
                <w:sz w:val="21"/>
              </w:rPr>
              <w:t>总硬度(以 CaCO</w:t>
            </w:r>
            <w:r>
              <w:rPr>
                <w:sz w:val="11"/>
              </w:rPr>
              <w:t xml:space="preserve">3 </w:t>
            </w:r>
            <w:r>
              <w:rPr>
                <w:position w:val="1"/>
                <w:sz w:val="21"/>
              </w:rPr>
              <w:t>计，mg/L）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043" w:type="dxa"/>
          </w:tcPr>
          <w:p>
            <w:pPr>
              <w:pStyle w:val="9"/>
              <w:spacing w:before="4" w:line="240" w:lineRule="auto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spacing w:before="0" w:line="240" w:lineRule="auto"/>
              <w:rPr>
                <w:sz w:val="21"/>
              </w:rPr>
            </w:pPr>
            <w:r>
              <w:rPr>
                <w:position w:val="1"/>
                <w:sz w:val="21"/>
              </w:rPr>
              <w:t>耗氧量（COD</w:t>
            </w:r>
            <w:r>
              <w:rPr>
                <w:sz w:val="11"/>
              </w:rPr>
              <w:t xml:space="preserve">Mn </w:t>
            </w:r>
            <w:r>
              <w:rPr>
                <w:position w:val="1"/>
                <w:sz w:val="21"/>
              </w:rPr>
              <w:t>法，以 O</w:t>
            </w:r>
            <w:r>
              <w:rPr>
                <w:sz w:val="11"/>
              </w:rPr>
              <w:t xml:space="preserve">2 </w:t>
            </w:r>
            <w:r>
              <w:rPr>
                <w:position w:val="1"/>
                <w:sz w:val="21"/>
              </w:rPr>
              <w:t>计，mg/L）</w:t>
            </w:r>
          </w:p>
        </w:tc>
        <w:tc>
          <w:tcPr>
            <w:tcW w:w="3658" w:type="dxa"/>
          </w:tcPr>
          <w:p>
            <w:pPr>
              <w:pStyle w:val="9"/>
              <w:spacing w:before="78" w:line="240" w:lineRule="auto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  <w:p>
            <w:pPr>
              <w:pStyle w:val="9"/>
              <w:spacing w:before="9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水源限制，原水耗氧量＞6mg/L 时为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挥发酚类（以苯酚计，mg/L）</w:t>
            </w:r>
          </w:p>
        </w:tc>
        <w:tc>
          <w:tcPr>
            <w:tcW w:w="3658" w:type="dxa"/>
          </w:tcPr>
          <w:p>
            <w:pPr>
              <w:pStyle w:val="9"/>
              <w:ind w:left="0" w:right="1553"/>
              <w:jc w:val="right"/>
              <w:rPr>
                <w:sz w:val="21"/>
              </w:rPr>
            </w:pPr>
            <w:r>
              <w:rPr>
                <w:sz w:val="21"/>
              </w:rPr>
              <w:t>0.002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rPr>
                <w:sz w:val="21"/>
              </w:rPr>
            </w:pPr>
            <w:r>
              <w:rPr>
                <w:sz w:val="21"/>
              </w:rPr>
              <w:t>阴离子合成洗涤剂（mg/L）</w:t>
            </w:r>
          </w:p>
        </w:tc>
        <w:tc>
          <w:tcPr>
            <w:tcW w:w="3658" w:type="dxa"/>
          </w:tcPr>
          <w:p>
            <w:pPr>
              <w:pStyle w:val="9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43" w:type="dxa"/>
          </w:tcPr>
          <w:p>
            <w:pPr>
              <w:pStyle w:val="9"/>
              <w:spacing w:before="68" w:line="272" w:lineRule="exact"/>
              <w:rPr>
                <w:sz w:val="11"/>
              </w:rPr>
            </w:pPr>
            <w:r>
              <w:rPr>
                <w:sz w:val="21"/>
              </w:rPr>
              <w:t>4、放射性指标</w:t>
            </w:r>
            <w:r>
              <w:rPr>
                <w:position w:val="11"/>
                <w:sz w:val="11"/>
              </w:rPr>
              <w:t>②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0" w:right="1500"/>
              <w:jc w:val="right"/>
              <w:rPr>
                <w:sz w:val="21"/>
              </w:rPr>
            </w:pPr>
            <w:r>
              <w:rPr>
                <w:sz w:val="21"/>
              </w:rPr>
              <w:t>指导值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043" w:type="dxa"/>
          </w:tcPr>
          <w:p>
            <w:pPr>
              <w:pStyle w:val="9"/>
              <w:spacing w:before="80"/>
              <w:rPr>
                <w:sz w:val="21"/>
              </w:rPr>
            </w:pPr>
            <w:r>
              <w:rPr>
                <w:sz w:val="21"/>
              </w:rPr>
              <w:t>总</w:t>
            </w:r>
            <w:r>
              <w:rPr>
                <w:rFonts w:ascii="Arial" w:hAnsi="Arial" w:eastAsia="Arial"/>
                <w:sz w:val="21"/>
              </w:rPr>
              <w:t xml:space="preserve">α </w:t>
            </w:r>
            <w:r>
              <w:rPr>
                <w:sz w:val="21"/>
              </w:rPr>
              <w:t>放射性（Bq/L）</w:t>
            </w:r>
          </w:p>
        </w:tc>
        <w:tc>
          <w:tcPr>
            <w:tcW w:w="3658" w:type="dxa"/>
          </w:tcPr>
          <w:p>
            <w:pPr>
              <w:pStyle w:val="9"/>
              <w:spacing w:before="8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3" w:type="dxa"/>
          </w:tcPr>
          <w:p>
            <w:pPr>
              <w:pStyle w:val="9"/>
              <w:spacing w:before="78"/>
              <w:rPr>
                <w:sz w:val="21"/>
              </w:rPr>
            </w:pPr>
            <w:r>
              <w:rPr>
                <w:sz w:val="21"/>
              </w:rPr>
              <w:t>总</w:t>
            </w:r>
            <w:r>
              <w:rPr>
                <w:rFonts w:ascii="Arial" w:hAnsi="Arial" w:eastAsia="Arial"/>
                <w:sz w:val="21"/>
              </w:rPr>
              <w:t xml:space="preserve">β </w:t>
            </w:r>
            <w:r>
              <w:rPr>
                <w:sz w:val="21"/>
              </w:rPr>
              <w:t>放射性（Bq/L）</w:t>
            </w:r>
          </w:p>
        </w:tc>
        <w:tc>
          <w:tcPr>
            <w:tcW w:w="3658" w:type="dxa"/>
          </w:tcPr>
          <w:p>
            <w:pPr>
              <w:pStyle w:val="9"/>
              <w:spacing w:before="78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701" w:type="dxa"/>
            <w:gridSpan w:val="2"/>
          </w:tcPr>
          <w:p>
            <w:pPr>
              <w:pStyle w:val="9"/>
              <w:tabs>
                <w:tab w:val="left" w:pos="532"/>
              </w:tabs>
              <w:spacing w:line="321" w:lineRule="auto"/>
              <w:ind w:right="90"/>
              <w:rPr>
                <w:sz w:val="21"/>
              </w:rPr>
            </w:pPr>
            <w:r>
              <w:rPr>
                <w:sz w:val="21"/>
              </w:rPr>
              <w:t>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MPN</w:t>
            </w:r>
            <w:r>
              <w:rPr>
                <w:spacing w:val="-7"/>
                <w:sz w:val="21"/>
              </w:rPr>
              <w:t xml:space="preserve"> 表示最可能数；</w:t>
            </w:r>
            <w:r>
              <w:rPr>
                <w:spacing w:val="-4"/>
                <w:sz w:val="21"/>
              </w:rPr>
              <w:t>CFU</w:t>
            </w:r>
            <w:r>
              <w:rPr>
                <w:spacing w:val="-9"/>
                <w:sz w:val="21"/>
              </w:rPr>
              <w:t xml:space="preserve"> 表示菌落形成单位。当水样检出总大肠菌群时，应进一步检验大</w:t>
            </w:r>
            <w:r>
              <w:rPr>
                <w:spacing w:val="-5"/>
                <w:sz w:val="21"/>
              </w:rPr>
              <w:t>肠埃希氏菌或耐热大肠菌群；水样未检出总大肠菌群，不必检验大肠埃希氏菌或耐热大肠菌群。</w:t>
            </w:r>
          </w:p>
          <w:p>
            <w:pPr>
              <w:pStyle w:val="9"/>
              <w:tabs>
                <w:tab w:val="left" w:pos="532"/>
              </w:tabs>
              <w:spacing w:before="0" w:line="260" w:lineRule="exact"/>
              <w:rPr>
                <w:sz w:val="21"/>
              </w:rPr>
            </w:pPr>
            <w:r>
              <w:rPr>
                <w:sz w:val="21"/>
              </w:rPr>
              <w:t>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放射性指标超过指导值，应进行核素分析和评价，判定能否饮用。</w:t>
            </w:r>
          </w:p>
        </w:tc>
      </w:tr>
    </w:tbl>
    <w:p/>
    <w:sectPr>
      <w:pgSz w:w="11910" w:h="16840"/>
      <w:pgMar w:top="1400" w:right="920" w:bottom="280" w:left="1020" w:header="115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718820</wp:posOffset>
              </wp:positionV>
              <wp:extent cx="1501140" cy="1600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1181"/>
                            </w:tabs>
                            <w:spacing w:before="0" w:line="251" w:lineRule="exact"/>
                            <w:ind w:right="0"/>
                            <w:jc w:val="left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.6pt;margin-top:56.6pt;height:12.6pt;width:118.2pt;mso-position-horizontal-relative:page;mso-position-vertical-relative:page;z-index:-251657216;mso-width-relative:page;mso-height-relative:page;" filled="f" stroked="f" coordsize="21600,21600" o:gfxdata="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x8nVK2AAAAAsBAAAPAAAAAAAAAAEAIAAAACIAAABkcnMvZG93bnJldi54bWxQSwECFAAU&#10;AAAACACHTuJADXCP1bgBAABy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181"/>
                      </w:tabs>
                      <w:spacing w:before="0" w:line="251" w:lineRule="exact"/>
                      <w:ind w:right="0"/>
                      <w:jc w:val="left"/>
                      <w:rPr>
                        <w:b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5393690</wp:posOffset>
              </wp:positionH>
              <wp:positionV relativeFrom="page">
                <wp:posOffset>718820</wp:posOffset>
              </wp:positionV>
              <wp:extent cx="1437005" cy="1600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70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51" w:lineRule="exact"/>
                            <w:ind w:right="0"/>
                            <w:jc w:val="left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.7pt;margin-top:56.6pt;height:12.6pt;width:113.15pt;mso-position-horizontal-relative:page;mso-position-vertical-relative:page;z-index:-251656192;mso-width-relative:page;mso-height-relative:page;" filled="f" stroked="f" coordsize="21600,21600" o:gfxdata="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8L4//2wAAAAwBAAAPAAAAAAAAAAEAIAAAACIAAABkcnMvZG93bnJldi54bWxQ&#10;SwECFAAUAAAACACHTuJAQX+RYb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51" w:lineRule="exact"/>
                      <w:ind w:right="0"/>
                      <w:jc w:val="left"/>
                      <w:rPr>
                        <w:b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430" w:hanging="318"/>
        <w:jc w:val="left"/>
      </w:pPr>
      <w:rPr>
        <w:rFonts w:hint="default"/>
        <w:b/>
        <w:bCs/>
        <w:w w:val="99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482" w:hanging="371"/>
        <w:jc w:val="left"/>
      </w:pPr>
      <w:rPr>
        <w:rFonts w:hint="default" w:ascii="宋体" w:hAnsi="宋体" w:eastAsia="宋体" w:cs="宋体"/>
        <w:w w:val="100"/>
        <w:sz w:val="21"/>
        <w:szCs w:val="21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744" w:hanging="632"/>
        <w:jc w:val="left"/>
      </w:pPr>
      <w:rPr>
        <w:rFonts w:hint="default" w:ascii="宋体" w:hAnsi="宋体" w:eastAsia="宋体" w:cs="宋体"/>
        <w:w w:val="100"/>
        <w:sz w:val="21"/>
        <w:szCs w:val="21"/>
        <w:lang w:val="zh-CN" w:eastAsia="zh-CN" w:bidi="zh-CN"/>
      </w:rPr>
    </w:lvl>
    <w:lvl w:ilvl="3" w:tentative="0">
      <w:start w:val="1"/>
      <w:numFmt w:val="decimal"/>
      <w:lvlText w:val="%1.%2.%3.%4"/>
      <w:lvlJc w:val="left"/>
      <w:pPr>
        <w:ind w:left="955" w:hanging="843"/>
        <w:jc w:val="left"/>
      </w:pPr>
      <w:rPr>
        <w:rFonts w:hint="default" w:ascii="宋体" w:hAnsi="宋体" w:eastAsia="宋体" w:cs="宋体"/>
        <w:spacing w:val="-3"/>
        <w:w w:val="100"/>
        <w:sz w:val="21"/>
        <w:szCs w:val="21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60" w:hanging="8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61" w:hanging="8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62" w:hanging="8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63" w:hanging="8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64" w:hanging="84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NjU3ZDRlZTE3YTMxZGRmOGU1ZmNhYWRmZTZhMjEifQ=="/>
  </w:docVars>
  <w:rsids>
    <w:rsidRoot w:val="00000000"/>
    <w:rsid w:val="138228A6"/>
    <w:rsid w:val="1CF77E61"/>
    <w:rsid w:val="3B251BE5"/>
    <w:rsid w:val="42401677"/>
    <w:rsid w:val="4D800CA1"/>
    <w:rsid w:val="7BAD0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0" w:hanging="319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636" w:hanging="527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77" w:line="262" w:lineRule="exact"/>
      <w:ind w:left="11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2158</Words>
  <Characters>2408</Characters>
  <TotalTime>15</TotalTime>
  <ScaleCrop>false</ScaleCrop>
  <LinksUpToDate>false</LinksUpToDate>
  <CharactersWithSpaces>2456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2023-02-19T11:35:00Z</dcterms:created>
  <dc:creator>许彪</dc:creator>
  <cp:lastModifiedBy> SJna_</cp:lastModifiedBy>
  <dcterms:modified xsi:type="dcterms:W3CDTF">2023-02-19T11:51:12Z</dcterms:modified>
  <dc:title>标准化管理标准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2023-02-19T00:00:00Z</vt:filetime>
  </property>
  <property fmtid="{D5CDD505-2E9C-101B-9397-08002B2CF9AE}" pid="5" name="KSOProductBuildVer">
    <vt:lpwstr>2052-11.1.0.12132</vt:lpwstr>
  </property>
  <property fmtid="{D5CDD505-2E9C-101B-9397-08002B2CF9AE}" pid="6" name="ICV">
    <vt:lpwstr>EB6A5727BD084AF98F88882F4C8E7949</vt:lpwstr>
  </property>
</Properties>
</file>