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 w:val="21"/>
                <w:szCs w:val="21"/>
              </w:rPr>
              <w:t>活动中心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河南-鹤壁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2024年2月14日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T18438068536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right" w:leader="dot" w:pos="9026"/>
        </w:tabs>
      </w:pPr>
      <w:bookmarkStart w:id="13" w:name="目录"/>
      <w:bookmarkStart w:id="83" w:name="_GoBack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_Toc10064 </w:instrText>
      </w:r>
      <w: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_Toc10064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_Toc2920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_Toc2920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_Toc23974 </w:instrText>
      </w:r>
      <w: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_Toc23974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_Toc16908 </w:instrText>
      </w:r>
      <w: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_Toc16908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_Toc16239 </w:instrText>
      </w:r>
      <w: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_Toc16239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_Toc21430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_Toc21430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_Toc3327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外墙构造一</w:t>
      </w:r>
      <w:r>
        <w:tab/>
      </w:r>
      <w:r>
        <w:fldChar w:fldCharType="begin"/>
      </w:r>
      <w:r>
        <w:instrText xml:space="preserve"> PAGEREF _Toc3327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_Toc27767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3.2.1 </w:t>
      </w:r>
      <w:r>
        <w:rPr>
          <w:rFonts w:hint="eastAsia"/>
        </w:rPr>
        <w:t>冷凝计算界面至围护结构内表面之间的热阻</w:t>
      </w:r>
      <w:r>
        <w:object>
          <v:shape id="_x0000_i111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1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_Toc27767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_Toc8971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3.2.2 </w:t>
      </w:r>
      <w:r>
        <w:rPr>
          <w:rFonts w:hint="eastAsia"/>
        </w:rPr>
        <w:t>冷凝计算界面温度</w:t>
      </w:r>
      <w:r>
        <w:rPr>
          <w:position w:val="-6"/>
        </w:rPr>
        <w:object>
          <v:shape id="_x0000_i111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1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_Toc8971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_Toc23430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_Toc23430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_Toc19419 </w:instrText>
      </w:r>
      <w: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阳台隔墙构造一</w:t>
      </w:r>
      <w:r>
        <w:tab/>
      </w:r>
      <w:r>
        <w:fldChar w:fldCharType="begin"/>
      </w:r>
      <w:r>
        <w:instrText xml:space="preserve"> PAGEREF _Toc19419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_Toc25149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41300" cy="171450"/>
            <wp:effectExtent l="0" t="0" r="0" b="0"/>
            <wp:docPr id="1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_Toc25149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_Toc2791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0" b="0"/>
            <wp:docPr id="2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_Toc2791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_Toc10151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_Toc10151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_Toc16031 </w:instrText>
      </w:r>
      <w: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_Toc16031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  <w:bookmarkEnd w:id="13"/>
      <w:bookmarkEnd w:id="83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0064"/>
      <w:r>
        <w:rPr>
          <w:rFonts w:hint="eastAsia"/>
        </w:rPr>
        <w:t>建筑概况</w:t>
      </w:r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活动中心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河南-鹤壁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2" w:name="纬度"/>
            <w:r>
              <w:rPr>
                <w:rFonts w:hint="eastAsia"/>
              </w:rPr>
              <w:t>35.90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3" w:name="经度"/>
            <w:r>
              <w:rPr>
                <w:rFonts w:hint="eastAsia"/>
              </w:rPr>
              <w:t>114.20</w:t>
            </w:r>
            <w:bookmarkEnd w:id="23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气候分区"/>
            <w:r>
              <w:t>寒冷B区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面积"/>
            <w:r>
              <w:rPr>
                <w:rFonts w:hint="eastAsia"/>
              </w:rPr>
              <w:t>7902</w:t>
            </w:r>
            <w:bookmarkEnd w:id="25"/>
            <w:r>
              <w:rPr>
                <w:rFonts w:hint="eastAsia"/>
              </w:rPr>
              <w:t>㎡    地下</w:t>
            </w:r>
            <w:bookmarkStart w:id="26" w:name="地下建筑面积"/>
            <w:r>
              <w:rPr>
                <w:rFonts w:hint="eastAsia"/>
              </w:rPr>
              <w:t>0</w:t>
            </w:r>
            <w:bookmarkEnd w:id="26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7" w:name="地上建筑层数"/>
            <w:r>
              <w:rPr>
                <w:rFonts w:hint="eastAsia"/>
              </w:rPr>
              <w:t>4</w:t>
            </w:r>
            <w:bookmarkEnd w:id="27"/>
            <w:r>
              <w:rPr>
                <w:rFonts w:hint="eastAsia"/>
              </w:rPr>
              <w:t xml:space="preserve">          地下</w:t>
            </w:r>
            <w:bookmarkStart w:id="28" w:name="地下建筑层数"/>
            <w:r>
              <w:t>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地上建筑高度"/>
            <w:r>
              <w:rPr>
                <w:rFonts w:hint="eastAsia"/>
              </w:rPr>
              <w:t>13.2</w:t>
            </w:r>
            <w:bookmarkEnd w:id="29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1" w:name="_Toc480186061"/>
      <w:bookmarkStart w:id="32" w:name="_Toc480186123"/>
      <w:bookmarkStart w:id="33" w:name="_Toc316568036"/>
      <w:bookmarkStart w:id="34" w:name="_Toc480218445"/>
      <w:bookmarkStart w:id="35" w:name="_Toc2920"/>
      <w:bookmarkStart w:id="36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5"/>
    </w:p>
    <w:bookmarkEnd w:id="36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河南公共建筑节能设计标准DBJ41/T 075-2016</w:t>
      </w:r>
      <w:bookmarkEnd w:id="37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bookmarkStart w:id="38" w:name="地方绿建评价标准"/>
      <w:r>
        <w:rPr>
          <w:rFonts w:hint="eastAsia"/>
        </w:rPr>
        <w:t>河南省《绿色建筑评价标准》DBJ41/T 109-2020</w:t>
      </w:r>
      <w:bookmarkEnd w:id="38"/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9" w:name="_Toc480186124"/>
      <w:bookmarkStart w:id="40" w:name="_Toc480218446"/>
      <w:bookmarkStart w:id="41" w:name="_Toc480186062"/>
      <w:bookmarkStart w:id="42" w:name="_Toc23974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</w:t>
      </w:r>
      <w:bookmarkStart w:id="43" w:name="地方绿建评价标准：1"/>
      <w:r>
        <w:rPr>
          <w:rFonts w:hint="eastAsia"/>
        </w:rPr>
        <w:t>河南省《绿色建筑评价标准》DBJ41/T 109-2020</w:t>
      </w:r>
      <w:bookmarkEnd w:id="43"/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4" w:name="_Toc480218447"/>
      <w:bookmarkStart w:id="45" w:name="_Toc479931706"/>
      <w:bookmarkStart w:id="46" w:name="_Toc480186063"/>
      <w:bookmarkStart w:id="47" w:name="_Toc480186125"/>
      <w:bookmarkStart w:id="48" w:name="_Toc16908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pt;width:16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6.5pt;width: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0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2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3.5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4pt;width:1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6239"/>
      <w:r>
        <w:rPr>
          <w:rFonts w:hint="eastAsia"/>
        </w:rPr>
        <w:t>防潮验算</w:t>
      </w:r>
      <w:r>
        <w:t>计算过程</w:t>
      </w:r>
      <w:bookmarkEnd w:id="49"/>
      <w:bookmarkEnd w:id="50"/>
      <w:bookmarkEnd w:id="51"/>
      <w:bookmarkEnd w:id="52"/>
    </w:p>
    <w:p>
      <w:pPr>
        <w:pStyle w:val="4"/>
        <w:spacing w:line="240" w:lineRule="atLeast"/>
        <w:rPr>
          <w:kern w:val="2"/>
        </w:rPr>
      </w:pPr>
      <w:bookmarkStart w:id="53" w:name="_Toc21430"/>
      <w:r>
        <w:rPr>
          <w:rFonts w:hint="eastAsia"/>
          <w:kern w:val="2"/>
        </w:rPr>
        <w:t>计算条件</w:t>
      </w:r>
      <w:bookmarkEnd w:id="53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2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3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4" o:spt="75" type="#_x0000_t75" style="height:17.5pt;width:10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6" w:name="t_e_avg"/>
            <w:r>
              <w:rPr>
                <w:rFonts w:hint="eastAsia"/>
              </w:rPr>
              <w:t>1.30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7" w:name="室外相对湿度"/>
            <w:r>
              <w:rPr>
                <w:rFonts w:hint="eastAsia"/>
              </w:rPr>
              <w:t>59.00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8" w:name="Z"/>
            <w:r>
              <w:rPr>
                <w:rFonts w:hint="eastAsia"/>
              </w:rPr>
              <w:t>93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9" w:name="气象数据参考"/>
      <w:r>
        <w:t>注：气象数据参考 河南-安阳.</w:t>
      </w:r>
      <w:r>
        <w:br w:type="textWrapping"/>
      </w:r>
      <w:bookmarkEnd w:id="59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60" w:name="_Toc3327"/>
      <w:bookmarkStart w:id="61" w:name="构造ID"/>
      <w:bookmarkStart w:id="62" w:name="DataTab"/>
      <w:r>
        <w:rPr>
          <w:rFonts w:hint="eastAsia"/>
          <w:kern w:val="2"/>
        </w:rPr>
        <w:t>外墙构造一</w:t>
      </w:r>
      <w:bookmarkEnd w:id="60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3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671" w:type="dxa"/>
            <w:vAlign w:val="center"/>
          </w:tcPr>
          <w:p>
            <w:r>
              <w:t>0.50</w:t>
            </w:r>
          </w:p>
        </w:tc>
        <w:tc>
          <w:tcPr>
            <w:tcW w:w="992" w:type="dxa"/>
            <w:vAlign w:val="center"/>
          </w:tcPr>
          <w:p>
            <w:r>
              <w:t>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0.60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0.10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1.149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石灰石膏砂浆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0.760</w:t>
            </w:r>
          </w:p>
        </w:tc>
        <w:tc>
          <w:tcPr>
            <w:tcW w:w="671" w:type="dxa"/>
            <w:vAlign w:val="center"/>
          </w:tcPr>
          <w:p>
            <w:r>
              <w:t>0.50</w:t>
            </w:r>
          </w:p>
        </w:tc>
        <w:tc>
          <w:tcPr>
            <w:tcW w:w="992" w:type="dxa"/>
            <w:vAlign w:val="center"/>
          </w:tcPr>
          <w:p>
            <w:r>
              <w:t>1500.00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0.053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4" w:name="_Toc27767"/>
      <w:r>
        <w:rPr>
          <w:rFonts w:hint="eastAsia"/>
        </w:rPr>
        <w:t>冷凝计算界面至围护结构内表面之间的热阻</w:t>
      </w:r>
      <w:r>
        <w:object>
          <v:shape id="_x0000_i105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3">
            <o:LockedField>false</o:LockedField>
          </o:OLEObject>
        </w:object>
      </w:r>
      <w:bookmarkEnd w:id="64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6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bookmarkStart w:id="65" w:name="R_o_i"/>
      <w:r>
        <w:rPr>
          <w:rFonts w:hint="eastAsia"/>
        </w:rPr>
        <w:t>-</w:t>
      </w:r>
    </w:p>
    <w:p>
      <w:pPr>
        <w:pStyle w:val="5"/>
        <w:ind w:right="1470"/>
      </w:pPr>
      <w:bookmarkStart w:id="66" w:name="_Toc8971"/>
      <w:r>
        <w:rPr>
          <w:rFonts w:hint="eastAsia"/>
        </w:rPr>
        <w:t>冷凝计算界面温度</w:t>
      </w:r>
      <w:r>
        <w:rPr>
          <w:position w:val="-6"/>
        </w:rPr>
        <w:object>
          <v:shape id="_x0000_i105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5">
            <o:LockedField>false</o:LockedField>
          </o:OLEObject>
        </w:object>
      </w:r>
      <w:bookmarkEnd w:id="66"/>
    </w:p>
    <w:p>
      <w:pPr>
        <w:jc w:val="center"/>
      </w:pPr>
      <w:r>
        <w:object>
          <v:shape id="_x0000_i1058" o:spt="75" type="#_x0000_t75" style="height:33pt;width:1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8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9" DrawAspect="Content" ObjectID="_1468075751" r:id="rId58">
            <o:LockedField>false</o:LockedField>
          </o:OLEObject>
        </w:object>
      </w:r>
      <w:r>
        <w:t>=</w:t>
      </w:r>
      <w:bookmarkStart w:id="67" w:name="θ_c"/>
      <w:r>
        <w:rPr>
          <w:rFonts w:hint="eastAsia"/>
        </w:rPr>
        <w:t>-</w:t>
      </w:r>
    </w:p>
    <w:p>
      <w:pPr>
        <w:pStyle w:val="5"/>
        <w:ind w:right="1470"/>
      </w:pPr>
      <w:bookmarkStart w:id="68" w:name="_Toc23430"/>
      <w:r>
        <w:rPr>
          <w:rStyle w:val="32"/>
          <w:rFonts w:hint="eastAsia"/>
          <w:b/>
          <w:bCs w:val="0"/>
        </w:rPr>
        <w:t>围护结构冷凝受潮验算</w:t>
      </w:r>
      <w:bookmarkEnd w:id="68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0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1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3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4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5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H_o_i"/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66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e"/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Pi"/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Pe"/>
            <w:r>
              <w:rPr>
                <w:rFonts w:hint="eastAsia"/>
              </w:rPr>
              <w:t>395.71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sc"/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79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ρ"/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δi"/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3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6.5pt;width: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ω_l"/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7" w:name="ω"/>
            <w:r>
              <w:rPr>
                <w:rFonts w:hint="eastAsia"/>
              </w:rPr>
              <w:t>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78" w:name="_Toc19419"/>
      <w:r>
        <w:rPr>
          <w:rFonts w:hint="eastAsia"/>
          <w:kern w:val="2"/>
        </w:rPr>
        <w:t>阳台隔墙构造一</w:t>
      </w:r>
      <w:bookmarkEnd w:id="61"/>
      <w:bookmarkEnd w:id="7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0.70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0.952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0.10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1.149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bookmarkEnd w:id="63"/>
    </w:tbl>
    <w:p>
      <w:pPr>
        <w:pStyle w:val="3"/>
        <w:ind w:left="1470" w:right="1470"/>
      </w:pPr>
    </w:p>
    <w:p>
      <w:pPr>
        <w:pStyle w:val="5"/>
      </w:pPr>
      <w:bookmarkStart w:id="79" w:name="_Toc25149"/>
      <w:r>
        <w:rPr>
          <w:rFonts w:hint="eastAsia"/>
        </w:rPr>
        <w:t>冷凝计算界面至围护结构内表面之间的热阻</w:t>
      </w:r>
      <w:r>
        <w:pict>
          <v:shape id="_x0000_i1085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9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6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  <w:bookmarkEnd w:id="65"/>
    </w:p>
    <w:p>
      <w:pPr>
        <w:pStyle w:val="5"/>
        <w:ind w:right="1470"/>
      </w:pPr>
      <w:bookmarkStart w:id="80" w:name="_Toc2791"/>
      <w:r>
        <w:rPr>
          <w:rFonts w:hint="eastAsia"/>
        </w:rPr>
        <w:t>冷凝计算界面温度</w:t>
      </w:r>
      <w:r>
        <w:rPr>
          <w:position w:val="-6"/>
        </w:rPr>
        <w:pict>
          <v:shape id="_x0000_i108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80"/>
    </w:p>
    <w:p>
      <w:pPr>
        <w:jc w:val="center"/>
      </w:pPr>
      <w:r>
        <w:pict>
          <v:shape id="_x0000_i1088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</w:t>
      </w:r>
      <w:bookmarkEnd w:id="67"/>
    </w:p>
    <w:p>
      <w:pPr>
        <w:pStyle w:val="5"/>
        <w:ind w:right="1470"/>
      </w:pPr>
      <w:bookmarkStart w:id="81" w:name="_Toc10151"/>
      <w:r>
        <w:rPr>
          <w:rStyle w:val="32"/>
          <w:rFonts w:hint="eastAsia"/>
          <w:b/>
          <w:bCs w:val="0"/>
        </w:rPr>
        <w:t>围护结构冷凝受潮验算</w:t>
      </w:r>
      <w:bookmarkEnd w:id="81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0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1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3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4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5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69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096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71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395.71</w:t>
            </w:r>
            <w:bookmarkEnd w:id="72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3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0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7"/>
          </w:p>
        </w:tc>
      </w:tr>
    </w:tbl>
    <w:p>
      <w:pPr>
        <w:widowControl/>
        <w:jc w:val="left"/>
      </w:pPr>
    </w:p>
    <w:bookmarkEnd w:id="62"/>
    <w:p>
      <w:pPr>
        <w:pStyle w:val="2"/>
        <w:widowControl/>
        <w:jc w:val="left"/>
      </w:pPr>
      <w:bookmarkStart w:id="82" w:name="_Toc16031"/>
      <w:r>
        <w:t>验算结论</w:t>
      </w:r>
      <w:bookmarkEnd w:id="82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112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MTcxOWE3ZWM3NjhjYjFjODc2YTc4ZmNmZTNlNDgifQ=="/>
  </w:docVars>
  <w:rsids>
    <w:rsidRoot w:val="1C5D51F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1C5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4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7</Pages>
  <Words>1946</Words>
  <Characters>2650</Characters>
  <Lines>27</Lines>
  <Paragraphs>7</Paragraphs>
  <TotalTime>0</TotalTime>
  <ScaleCrop>false</ScaleCrop>
  <LinksUpToDate>false</LinksUpToDate>
  <CharactersWithSpaces>2777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2024-02-14T14:38:00Z</dcterms:created>
  <dc:creator>永-_-||禁</dc:creator>
  <cp:lastModifiedBy>永-_-||禁</cp:lastModifiedBy>
  <dcterms:modified xsi:type="dcterms:W3CDTF">2024-02-14T14:38:41Z</dcterms:modified>
  <dc:title>防潮验算计算书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EE2B9B717D5A46A0BCA456480222CDAA_11</vt:lpwstr>
  </property>
  <property fmtid="{D5CDD505-2E9C-101B-9397-08002B2CF9AE}" pid="4" name="KSOProductBuildVer">
    <vt:lpwstr>2052-12.1.0.16250</vt:lpwstr>
  </property>
</Properties>
</file>