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采取人车分流措施，且步行和自</w:t>
      </w:r>
      <w:r>
        <w:rPr>
          <w:rFonts w:hint="eastAsia" w:eastAsiaTheme="minorEastAsia"/>
          <w:sz w:val="24"/>
          <w:szCs w:val="40"/>
        </w:rPr>
        <w:t>行车</w:t>
      </w:r>
      <w:r>
        <w:rPr>
          <w:rFonts w:eastAsiaTheme="minorEastAsia"/>
          <w:sz w:val="24"/>
          <w:szCs w:val="40"/>
        </w:rPr>
        <w:t>交通系统有充足照明。（8分）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365"/>
        <w:gridCol w:w="157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7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采取人车分流措施，且步行和自交通系统有充足照明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254865928"/>
            <w:placeholder>
              <w:docPart w:val="166F0DE6DC1F4730AE9AC6F7E237AB57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是否</w:t>
            </w:r>
            <w:r>
              <w:rPr>
                <w:rFonts w:ascii="Times New Roman" w:hAnsi="Times New Roman" w:eastAsia="宋体" w:cs="Times New Roman"/>
                <w:szCs w:val="21"/>
              </w:rPr>
              <w:t>人车分流</w:t>
            </w:r>
          </w:p>
        </w:tc>
        <w:tc>
          <w:tcPr>
            <w:tcW w:w="2576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步行</w:t>
            </w:r>
            <w:r>
              <w:rPr>
                <w:rFonts w:ascii="Times New Roman" w:hAnsi="Times New Roman" w:eastAsia="宋体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自行车</w:t>
            </w:r>
            <w:r>
              <w:rPr>
                <w:rFonts w:ascii="Times New Roman" w:hAnsi="Times New Roman" w:eastAsia="宋体" w:cs="Times New Roman"/>
                <w:szCs w:val="21"/>
              </w:rPr>
              <w:t>道路是否有照明</w:t>
            </w:r>
          </w:p>
        </w:tc>
        <w:tc>
          <w:tcPr>
            <w:tcW w:w="2576" w:type="pct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是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请对人车分流措施、步行和自行车交通系统进行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本项目主出入口临街，自行车可临街停放在指定区域，机动车有指定地下停车场停放，设置了车行入口和人行（主）入口。内部道路都为人行道路，照明良好。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1）人车分流专项设计竣工文件</w:t>
      </w:r>
      <w:r>
        <w:rPr>
          <w:rFonts w:ascii="Times New Roman" w:hAnsi="Times New Roman" w:eastAsia="宋体" w:cs="Times New Roman"/>
          <w:szCs w:val="21"/>
        </w:rPr>
        <w:t>、道路照明设计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文件</w:t>
      </w:r>
      <w:r>
        <w:rPr>
          <w:rFonts w:hint="eastAsia" w:ascii="Times New Roman" w:hAnsi="Times New Roman" w:eastAsia="宋体" w:cs="Times New Roman"/>
          <w:szCs w:val="21"/>
        </w:rPr>
        <w:t>；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）相关区域的照度计算书、检测报告。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MzQwNjZmZTdlYWYwMmE4ODllMzAwZGExZDM3NGEifQ=="/>
  </w:docVars>
  <w:rsids>
    <w:rsidRoot w:val="00830D3C"/>
    <w:rsid w:val="00074A38"/>
    <w:rsid w:val="000943D0"/>
    <w:rsid w:val="004D0849"/>
    <w:rsid w:val="007B6F24"/>
    <w:rsid w:val="00830D3C"/>
    <w:rsid w:val="00986BEC"/>
    <w:rsid w:val="07174DA3"/>
    <w:rsid w:val="4B32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66F0DE6DC1F4730AE9AC6F7E237A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1CEE63-32A2-4EBE-885A-F1D8372DD9A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E5"/>
    <w:rsid w:val="001D68E5"/>
    <w:rsid w:val="00C07EDB"/>
    <w:rsid w:val="00EE7128"/>
    <w:rsid w:val="00F7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uiPriority w:val="99"/>
    <w:rPr>
      <w:color w:val="808080"/>
    </w:rPr>
  </w:style>
  <w:style w:type="paragraph" w:customStyle="1" w:styleId="5">
    <w:name w:val="166F0DE6DC1F4730AE9AC6F7E237AB5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3B19B305547419AB76E399529D277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182BECB954544A5A2568E5A53D5E2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83184C0DD5F4BC2982232CC95FB2F65"/>
    <w:autoRedefine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14E5A99B3A94F839799268166D762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B94DDD82AEE44D19073AC18B20F79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215</Characters>
  <Lines>1</Lines>
  <Paragraphs>1</Paragraphs>
  <TotalTime>8</TotalTime>
  <ScaleCrop>false</ScaleCrop>
  <LinksUpToDate>false</LinksUpToDate>
  <CharactersWithSpaces>251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2019-07-12T07:45:00Z</dcterms:created>
  <dc:creator>dongYP</dc:creator>
  <cp:lastModifiedBy>微信用户</cp:lastModifiedBy>
  <dcterms:modified xsi:type="dcterms:W3CDTF">2024-03-17T07:26:52Z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2A010B625F6D495E8F373A4E427439B6_12</vt:lpwstr>
  </property>
</Properties>
</file>