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4"/>
          <w:szCs w:val="40"/>
        </w:rPr>
      </w:pPr>
      <w:r>
        <w:rPr>
          <w:rFonts w:hint="eastAsia"/>
          <w:sz w:val="24"/>
          <w:szCs w:val="40"/>
        </w:rPr>
        <w:t>7.2.18选用</w:t>
      </w:r>
      <w:r>
        <w:rPr>
          <w:sz w:val="24"/>
          <w:szCs w:val="40"/>
        </w:rPr>
        <w:t>绿色建材</w:t>
      </w:r>
      <w:r>
        <w:rPr>
          <w:rFonts w:hint="eastAsia"/>
          <w:sz w:val="24"/>
          <w:szCs w:val="40"/>
        </w:rPr>
        <w:t>。（</w:t>
      </w:r>
      <w:r>
        <w:rPr>
          <w:sz w:val="24"/>
          <w:szCs w:val="40"/>
        </w:rPr>
        <w:t>12</w:t>
      </w:r>
      <w:r>
        <w:rPr>
          <w:rFonts w:hint="eastAsia"/>
          <w:sz w:val="24"/>
          <w:szCs w:val="40"/>
        </w:rPr>
        <w:t>分）</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得分自评</w:t>
      </w:r>
    </w:p>
    <w:tbl>
      <w:tblPr>
        <w:tblStyle w:val="6"/>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3976"/>
        <w:gridCol w:w="184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spacing w:line="288" w:lineRule="auto"/>
              <w:jc w:val="center"/>
              <w:rPr>
                <w:b/>
                <w:bCs/>
                <w:lang w:val="zh-CN"/>
              </w:rPr>
            </w:pPr>
            <w:r>
              <w:rPr>
                <w:rFonts w:ascii="Times New Roman" w:hAnsi="Times New Roman" w:eastAsia="宋体" w:cs="Times New Roman"/>
                <w:szCs w:val="21"/>
              </w:rPr>
              <w:t>序号</w:t>
            </w:r>
          </w:p>
        </w:tc>
        <w:tc>
          <w:tcPr>
            <w:tcW w:w="3976" w:type="dxa"/>
            <w:vAlign w:val="center"/>
          </w:tcPr>
          <w:p>
            <w:pPr>
              <w:spacing w:line="288" w:lineRule="auto"/>
              <w:jc w:val="center"/>
              <w:rPr>
                <w:b/>
                <w:bCs/>
                <w:lang w:val="zh-CN"/>
              </w:rPr>
            </w:pPr>
            <w:r>
              <w:rPr>
                <w:rFonts w:ascii="Times New Roman" w:hAnsi="Times New Roman" w:eastAsia="宋体" w:cs="Times New Roman"/>
                <w:szCs w:val="21"/>
              </w:rPr>
              <w:t>评价内容</w:t>
            </w:r>
          </w:p>
        </w:tc>
        <w:tc>
          <w:tcPr>
            <w:tcW w:w="1843" w:type="dxa"/>
            <w:vAlign w:val="center"/>
          </w:tcPr>
          <w:p>
            <w:pPr>
              <w:spacing w:line="288" w:lineRule="auto"/>
              <w:jc w:val="center"/>
              <w:rPr>
                <w:b/>
                <w:bCs/>
                <w:lang w:val="zh-CN"/>
              </w:rPr>
            </w:pPr>
            <w:r>
              <w:rPr>
                <w:rFonts w:ascii="Times New Roman" w:hAnsi="Times New Roman" w:eastAsia="宋体" w:cs="Times New Roman"/>
                <w:szCs w:val="21"/>
              </w:rPr>
              <w:t>评价分值</w:t>
            </w:r>
          </w:p>
        </w:tc>
        <w:tc>
          <w:tcPr>
            <w:tcW w:w="1410" w:type="dxa"/>
            <w:vAlign w:val="center"/>
          </w:tcPr>
          <w:p>
            <w:pPr>
              <w:spacing w:line="288" w:lineRule="auto"/>
              <w:jc w:val="center"/>
              <w:rPr>
                <w:b/>
                <w:bCs/>
                <w:lang w:val="zh-CN"/>
              </w:rPr>
            </w:pPr>
            <w:r>
              <w:rPr>
                <w:rFonts w:ascii="Times New Roman" w:hAnsi="Times New Roman" w:eastAsia="宋体" w:cs="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spacing w:line="288" w:lineRule="auto"/>
              <w:jc w:val="center"/>
              <w:rPr>
                <w:bCs/>
                <w:lang w:val="zh-CN"/>
              </w:rPr>
            </w:pPr>
            <w:r>
              <w:rPr>
                <w:rFonts w:hint="eastAsia"/>
                <w:bCs/>
                <w:lang w:val="zh-CN"/>
              </w:rPr>
              <w:t>1</w:t>
            </w:r>
          </w:p>
        </w:tc>
        <w:tc>
          <w:tcPr>
            <w:tcW w:w="3976" w:type="dxa"/>
            <w:vAlign w:val="center"/>
          </w:tcPr>
          <w:p>
            <w:pPr>
              <w:spacing w:line="288" w:lineRule="auto"/>
              <w:jc w:val="left"/>
              <w:rPr>
                <w:bCs/>
                <w:lang w:val="zh-CN"/>
              </w:rPr>
            </w:pPr>
            <w:r>
              <w:rPr>
                <w:rFonts w:hint="eastAsia"/>
                <w:bCs/>
                <w:lang w:val="zh-CN"/>
              </w:rPr>
              <w:t>绿色建材</w:t>
            </w:r>
            <w:r>
              <w:rPr>
                <w:bCs/>
                <w:lang w:val="zh-CN"/>
              </w:rPr>
              <w:t>应用比例不低于</w:t>
            </w:r>
            <w:r>
              <w:rPr>
                <w:rFonts w:hint="eastAsia"/>
                <w:bCs/>
                <w:lang w:val="zh-CN"/>
              </w:rPr>
              <w:t>30</w:t>
            </w:r>
            <w:r>
              <w:rPr>
                <w:bCs/>
                <w:lang w:val="zh-CN"/>
              </w:rPr>
              <w:t>%</w:t>
            </w:r>
          </w:p>
        </w:tc>
        <w:tc>
          <w:tcPr>
            <w:tcW w:w="1843" w:type="dxa"/>
            <w:vAlign w:val="center"/>
          </w:tcPr>
          <w:p>
            <w:pPr>
              <w:spacing w:line="288" w:lineRule="auto"/>
              <w:jc w:val="center"/>
              <w:rPr>
                <w:bCs/>
                <w:lang w:val="zh-CN"/>
              </w:rPr>
            </w:pPr>
            <w:r>
              <w:rPr>
                <w:bCs/>
                <w:lang w:val="zh-CN"/>
              </w:rPr>
              <w:t>4</w:t>
            </w:r>
          </w:p>
        </w:tc>
        <w:tc>
          <w:tcPr>
            <w:tcW w:w="1410" w:type="dxa"/>
            <w:vMerge w:val="restart"/>
            <w:vAlign w:val="center"/>
          </w:tcPr>
          <w:p>
            <w:pPr>
              <w:spacing w:line="288" w:lineRule="auto"/>
              <w:jc w:val="center"/>
              <w:rPr>
                <w:rFonts w:hint="eastAsia" w:eastAsiaTheme="minorEastAsia"/>
                <w:b/>
                <w:bCs/>
                <w:lang w:val="en-US" w:eastAsia="zh-CN"/>
              </w:rPr>
            </w:pPr>
            <w:r>
              <w:rPr>
                <w:rFonts w:hint="eastAsia"/>
                <w:b/>
                <w:bCs/>
                <w:lang w:val="en-US" w:eastAsia="zh-CN"/>
              </w:rPr>
              <w:t>8</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spacing w:line="288" w:lineRule="auto"/>
              <w:jc w:val="center"/>
              <w:rPr>
                <w:bCs/>
                <w:lang w:val="zh-CN"/>
              </w:rPr>
            </w:pPr>
            <w:r>
              <w:rPr>
                <w:rFonts w:hint="eastAsia"/>
                <w:bCs/>
                <w:lang w:val="zh-CN"/>
              </w:rPr>
              <w:t>2</w:t>
            </w:r>
          </w:p>
        </w:tc>
        <w:tc>
          <w:tcPr>
            <w:tcW w:w="3976" w:type="dxa"/>
            <w:vAlign w:val="center"/>
          </w:tcPr>
          <w:p>
            <w:pPr>
              <w:spacing w:line="288" w:lineRule="auto"/>
              <w:jc w:val="left"/>
              <w:rPr>
                <w:bCs/>
                <w:lang w:val="zh-CN"/>
              </w:rPr>
            </w:pPr>
            <w:r>
              <w:rPr>
                <w:rFonts w:hint="eastAsia"/>
                <w:bCs/>
                <w:lang w:val="zh-CN"/>
              </w:rPr>
              <w:t>绿色建材</w:t>
            </w:r>
            <w:r>
              <w:rPr>
                <w:bCs/>
                <w:lang w:val="zh-CN"/>
              </w:rPr>
              <w:t>应用比例不低于5</w:t>
            </w:r>
            <w:r>
              <w:rPr>
                <w:rFonts w:hint="eastAsia"/>
                <w:bCs/>
                <w:lang w:val="zh-CN"/>
              </w:rPr>
              <w:t>0</w:t>
            </w:r>
            <w:r>
              <w:rPr>
                <w:bCs/>
                <w:lang w:val="zh-CN"/>
              </w:rPr>
              <w:t>%</w:t>
            </w:r>
          </w:p>
        </w:tc>
        <w:tc>
          <w:tcPr>
            <w:tcW w:w="1843" w:type="dxa"/>
            <w:vAlign w:val="center"/>
          </w:tcPr>
          <w:p>
            <w:pPr>
              <w:spacing w:line="288" w:lineRule="auto"/>
              <w:jc w:val="center"/>
              <w:rPr>
                <w:bCs/>
                <w:lang w:val="zh-CN"/>
              </w:rPr>
            </w:pPr>
            <w:r>
              <w:rPr>
                <w:bCs/>
                <w:lang w:val="zh-CN"/>
              </w:rPr>
              <w:t>8</w:t>
            </w:r>
          </w:p>
        </w:tc>
        <w:tc>
          <w:tcPr>
            <w:tcW w:w="1410" w:type="dxa"/>
            <w:vMerge w:val="continue"/>
            <w:vAlign w:val="center"/>
          </w:tcPr>
          <w:p>
            <w:pPr>
              <w:spacing w:line="288" w:lineRule="auto"/>
              <w:jc w:val="center"/>
              <w:rPr>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spacing w:line="288" w:lineRule="auto"/>
              <w:jc w:val="center"/>
              <w:rPr>
                <w:bCs/>
                <w:lang w:val="zh-CN"/>
              </w:rPr>
            </w:pPr>
            <w:r>
              <w:rPr>
                <w:rFonts w:hint="eastAsia"/>
                <w:bCs/>
                <w:lang w:val="zh-CN"/>
              </w:rPr>
              <w:t>3</w:t>
            </w:r>
          </w:p>
        </w:tc>
        <w:tc>
          <w:tcPr>
            <w:tcW w:w="3976" w:type="dxa"/>
            <w:vAlign w:val="center"/>
          </w:tcPr>
          <w:p>
            <w:pPr>
              <w:spacing w:line="288" w:lineRule="auto"/>
              <w:jc w:val="left"/>
              <w:rPr>
                <w:bCs/>
                <w:lang w:val="zh-CN"/>
              </w:rPr>
            </w:pPr>
            <w:r>
              <w:rPr>
                <w:rFonts w:hint="eastAsia"/>
                <w:bCs/>
                <w:lang w:val="zh-CN"/>
              </w:rPr>
              <w:t>绿色建材</w:t>
            </w:r>
            <w:r>
              <w:rPr>
                <w:bCs/>
                <w:lang w:val="zh-CN"/>
              </w:rPr>
              <w:t>应用比例不低于7</w:t>
            </w:r>
            <w:r>
              <w:rPr>
                <w:rFonts w:hint="eastAsia"/>
                <w:bCs/>
                <w:lang w:val="zh-CN"/>
              </w:rPr>
              <w:t>0</w:t>
            </w:r>
            <w:r>
              <w:rPr>
                <w:bCs/>
                <w:lang w:val="zh-CN"/>
              </w:rPr>
              <w:t>%</w:t>
            </w:r>
          </w:p>
        </w:tc>
        <w:tc>
          <w:tcPr>
            <w:tcW w:w="1843" w:type="dxa"/>
            <w:vAlign w:val="center"/>
          </w:tcPr>
          <w:p>
            <w:pPr>
              <w:spacing w:line="288" w:lineRule="auto"/>
              <w:jc w:val="center"/>
              <w:rPr>
                <w:bCs/>
                <w:lang w:val="zh-CN"/>
              </w:rPr>
            </w:pPr>
            <w:r>
              <w:rPr>
                <w:bCs/>
                <w:lang w:val="zh-CN"/>
              </w:rPr>
              <w:t>12</w:t>
            </w:r>
          </w:p>
        </w:tc>
        <w:tc>
          <w:tcPr>
            <w:tcW w:w="1410" w:type="dxa"/>
            <w:vMerge w:val="continue"/>
            <w:vAlign w:val="center"/>
          </w:tcPr>
          <w:p>
            <w:pPr>
              <w:spacing w:line="288" w:lineRule="auto"/>
              <w:jc w:val="center"/>
              <w:rPr>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3" w:type="dxa"/>
            <w:gridSpan w:val="2"/>
            <w:vAlign w:val="center"/>
          </w:tcPr>
          <w:p>
            <w:pPr>
              <w:spacing w:line="288" w:lineRule="auto"/>
              <w:jc w:val="center"/>
              <w:rPr>
                <w:bCs/>
                <w:lang w:val="zh-CN"/>
              </w:rPr>
            </w:pPr>
            <w:r>
              <w:rPr>
                <w:bCs/>
                <w:lang w:val="zh-CN"/>
              </w:rPr>
              <w:t>合计</w:t>
            </w:r>
          </w:p>
        </w:tc>
        <w:tc>
          <w:tcPr>
            <w:tcW w:w="1843" w:type="dxa"/>
            <w:vAlign w:val="center"/>
          </w:tcPr>
          <w:p>
            <w:pPr>
              <w:spacing w:line="288" w:lineRule="auto"/>
              <w:jc w:val="center"/>
              <w:rPr>
                <w:bCs/>
                <w:lang w:val="zh-CN"/>
              </w:rPr>
            </w:pPr>
            <w:r>
              <w:rPr>
                <w:bCs/>
                <w:lang w:val="zh-CN"/>
              </w:rPr>
              <w:t>12</w:t>
            </w:r>
          </w:p>
        </w:tc>
        <w:tc>
          <w:tcPr>
            <w:tcW w:w="1410" w:type="dxa"/>
            <w:vAlign w:val="center"/>
          </w:tcPr>
          <w:p>
            <w:pPr>
              <w:spacing w:line="288" w:lineRule="auto"/>
              <w:jc w:val="center"/>
              <w:rPr>
                <w:rFonts w:hint="default" w:eastAsiaTheme="minorEastAsia"/>
                <w:b/>
                <w:bCs/>
                <w:lang w:val="en-US" w:eastAsia="zh-CN"/>
              </w:rPr>
            </w:pPr>
            <w:r>
              <w:rPr>
                <w:rFonts w:hint="eastAsia"/>
                <w:b/>
                <w:bCs/>
                <w:lang w:val="en-US" w:eastAsia="zh-CN"/>
              </w:rPr>
              <w:t>8</w:t>
            </w: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rPr>
          <w:rFonts w:ascii="Times New Roman" w:hAnsi="Times New Roman" w:eastAsia="宋体" w:cs="Times New Roman"/>
          <w:szCs w:val="21"/>
        </w:rPr>
      </w:pPr>
      <w:r>
        <w:rPr>
          <w:rFonts w:hint="eastAsia" w:cs="宋体"/>
          <w:lang w:val="zh-CN"/>
        </w:rPr>
        <w:t>请简要说明本项目</w:t>
      </w:r>
      <w:r>
        <w:t>绿色建材</w:t>
      </w:r>
      <w:r>
        <w:rPr>
          <w:rFonts w:hint="eastAsia"/>
        </w:rPr>
        <w:t>的</w:t>
      </w:r>
      <w:r>
        <w:rPr>
          <w:rFonts w:hint="eastAsia" w:cs="宋体"/>
          <w:lang w:val="zh-CN"/>
        </w:rPr>
        <w:t>应用情况。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numPr>
                <w:ilvl w:val="0"/>
                <w:numId w:val="1"/>
              </w:numPr>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新建建筑和改建部分使用环保型混凝土，</w:t>
            </w:r>
            <w:r>
              <w:rPr>
                <w:rFonts w:hint="default" w:ascii="Times New Roman" w:hAnsi="Times New Roman" w:eastAsia="宋体" w:cs="Times New Roman"/>
                <w:kern w:val="0"/>
                <w:sz w:val="20"/>
                <w:szCs w:val="21"/>
                <w:lang w:val="en-US" w:eastAsia="zh-CN"/>
              </w:rPr>
              <w:t>同传统混凝土相比，在拌制过程中所需要的水资源更少，也不会产生粉尘废气等破坏周围环境的有害物质，同时还具有同传统混凝土一样的坚固性和耐久性，可以有效保证建筑工程整体结构的质量和稳定性，大大降低建筑工程混凝土施工时候的成本支出，提高建筑工程建设的经济效益和社会效益。</w:t>
            </w:r>
          </w:p>
          <w:p>
            <w:pPr>
              <w:numPr>
                <w:ilvl w:val="0"/>
                <w:numId w:val="1"/>
              </w:numPr>
              <w:rPr>
                <w:rFonts w:hint="eastAsia" w:ascii="Times New Roman" w:hAnsi="Times New Roman" w:eastAsia="微软雅黑" w:cs="Times New Roman"/>
                <w:kern w:val="0"/>
                <w:sz w:val="20"/>
                <w:szCs w:val="21"/>
                <w:lang w:val="en-US" w:eastAsia="zh-CN"/>
              </w:rPr>
            </w:pPr>
            <w:r>
              <w:rPr>
                <w:rFonts w:hint="eastAsia" w:ascii="Times New Roman" w:hAnsi="Times New Roman" w:eastAsia="宋体" w:cs="Times New Roman"/>
                <w:kern w:val="0"/>
                <w:sz w:val="20"/>
                <w:szCs w:val="21"/>
                <w:lang w:val="en-US" w:eastAsia="zh-CN"/>
              </w:rPr>
              <w:t>应用</w:t>
            </w:r>
            <w:r>
              <w:rPr>
                <w:rFonts w:hint="default" w:ascii="Times New Roman" w:hAnsi="Times New Roman" w:eastAsia="宋体" w:cs="Times New Roman"/>
                <w:kern w:val="0"/>
                <w:sz w:val="20"/>
                <w:szCs w:val="21"/>
                <w:lang w:val="en-US" w:eastAsia="zh-CN"/>
              </w:rPr>
              <w:t>绿色真空</w:t>
            </w:r>
            <w:r>
              <w:t>玻璃</w:t>
            </w:r>
            <w:r>
              <w:rPr>
                <w:rFonts w:hint="eastAsia"/>
                <w:lang w:eastAsia="zh-CN"/>
              </w:rPr>
              <w:t>，</w:t>
            </w:r>
            <w:r>
              <w:t>在绿色真空玻璃制作过程中和安装过程中所使用的资源能耗和传统玻璃相比更少，不仅保护了建筑居住者身体健康安全，还能有效保护生态环境，推动建筑工程事业发展。</w:t>
            </w:r>
          </w:p>
          <w:p>
            <w:pPr>
              <w:numPr>
                <w:ilvl w:val="0"/>
                <w:numId w:val="1"/>
              </w:numPr>
              <w:rPr>
                <w:rFonts w:hint="eastAsia" w:ascii="Times New Roman" w:hAnsi="Times New Roman" w:eastAsia="微软雅黑" w:cs="Times New Roman"/>
                <w:kern w:val="0"/>
                <w:sz w:val="20"/>
                <w:szCs w:val="21"/>
                <w:lang w:val="en-US" w:eastAsia="zh-CN"/>
              </w:rPr>
            </w:pPr>
            <w:r>
              <w:rPr>
                <w:rFonts w:hint="eastAsia"/>
                <w:lang w:val="en-US" w:eastAsia="zh-CN"/>
              </w:rPr>
              <w:t>应用</w:t>
            </w:r>
            <w:r>
              <w:t>绿色墙体材料</w:t>
            </w:r>
            <w:r>
              <w:rPr>
                <w:rFonts w:hint="eastAsia"/>
                <w:lang w:eastAsia="zh-CN"/>
              </w:rPr>
              <w:t>，</w:t>
            </w:r>
            <w:r>
              <w:t>绿色墙体材料充分考虑了墙体施工的要求，在确保墙体材料良好的防潮性能和隔音性能基础上，大大提升墙体材料的绿色环保性能，使得相关墙体材料资源可以循环利用，并且不会对建筑工程施工周围环境造成破坏，避免墙体材料的浪费</w:t>
            </w:r>
            <w:r>
              <w:rPr>
                <w:rFonts w:hint="eastAsia"/>
                <w:lang w:eastAsia="zh-CN"/>
              </w:rPr>
              <w:t>。</w:t>
            </w: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rPr>
          <w:rFonts w:ascii="Times New Roman" w:hAnsi="Times New Roman" w:cs="Times New Roman" w:eastAsiaTheme="majorEastAsia"/>
        </w:rPr>
      </w:pPr>
      <w:r>
        <w:rPr>
          <w:rFonts w:hint="eastAsia" w:ascii="Times New Roman" w:hAnsi="Times New Roman" w:cs="Times New Roman" w:eastAsiaTheme="majorEastAsia"/>
        </w:rPr>
        <w:t>1）建筑、</w:t>
      </w:r>
      <w:r>
        <w:rPr>
          <w:rFonts w:ascii="Times New Roman" w:hAnsi="Times New Roman" w:cs="Times New Roman" w:eastAsiaTheme="majorEastAsia"/>
        </w:rPr>
        <w:t>土建</w:t>
      </w:r>
      <w:r>
        <w:rPr>
          <w:rFonts w:hint="eastAsia" w:ascii="Times New Roman" w:hAnsi="Times New Roman" w:cs="Times New Roman" w:eastAsiaTheme="majorEastAsia"/>
        </w:rPr>
        <w:t>、</w:t>
      </w:r>
      <w:r>
        <w:rPr>
          <w:rFonts w:ascii="Times New Roman" w:hAnsi="Times New Roman" w:cs="Times New Roman" w:eastAsiaTheme="majorEastAsia"/>
        </w:rPr>
        <w:t>装修专业的</w:t>
      </w:r>
      <w:r>
        <w:rPr>
          <w:rFonts w:hint="eastAsia" w:ascii="Times New Roman" w:hAnsi="Times New Roman" w:cs="Times New Roman" w:eastAsiaTheme="majorEastAsia"/>
        </w:rPr>
        <w:t>竣工图及设计说明、工程决算材料清单；</w:t>
      </w:r>
    </w:p>
    <w:p>
      <w:pPr>
        <w:rPr>
          <w:rFonts w:ascii="Times New Roman" w:hAnsi="Times New Roman" w:cs="Times New Roman" w:eastAsiaTheme="majorEastAsia"/>
        </w:rPr>
      </w:pPr>
      <w:r>
        <w:rPr>
          <w:rFonts w:hint="eastAsia" w:ascii="Times New Roman" w:hAnsi="Times New Roman" w:cs="Times New Roman" w:eastAsiaTheme="majorEastAsia"/>
        </w:rPr>
        <w:t>2）绿色建材应用比例计算分析报告、绿色</w:t>
      </w:r>
      <w:r>
        <w:rPr>
          <w:rFonts w:ascii="Times New Roman" w:hAnsi="Times New Roman" w:cs="Times New Roman" w:eastAsiaTheme="majorEastAsia"/>
        </w:rPr>
        <w:t>建材标识证书、</w:t>
      </w:r>
      <w:r>
        <w:rPr>
          <w:rFonts w:hint="eastAsia" w:ascii="Times New Roman" w:hAnsi="Times New Roman" w:cs="Times New Roman" w:eastAsiaTheme="majorEastAsia"/>
        </w:rPr>
        <w:t>相关产品性能检测报告；</w:t>
      </w:r>
    </w:p>
    <w:p>
      <w:pPr>
        <w:rPr>
          <w:rFonts w:ascii="Times New Roman" w:hAnsi="Times New Roman" w:cs="Times New Roman" w:eastAsiaTheme="majorEastAsia"/>
        </w:rPr>
      </w:pPr>
      <w:r>
        <w:rPr>
          <w:rFonts w:hint="eastAsia" w:ascii="Times New Roman" w:hAnsi="Times New Roman" w:cs="Times New Roman" w:eastAsiaTheme="majorEastAsia"/>
        </w:rPr>
        <w:t>3）施工记录</w:t>
      </w:r>
      <w:r>
        <w:rPr>
          <w:rFonts w:ascii="Times New Roman" w:hAnsi="Times New Roman" w:cs="Times New Roman" w:eastAsiaTheme="majorEastAsia"/>
        </w:rPr>
        <w:t>文件</w:t>
      </w:r>
      <w:r>
        <w:rPr>
          <w:rFonts w:hint="eastAsia" w:ascii="Times New Roman" w:hAnsi="Times New Roman" w:cs="Times New Roman" w:eastAsiaTheme="majorEastAsia"/>
        </w:rPr>
        <w:t>。</w:t>
      </w:r>
    </w:p>
    <w:p>
      <w:pPr>
        <w:spacing w:line="288" w:lineRule="auto"/>
        <w:rPr>
          <w:szCs w:val="21"/>
        </w:rPr>
      </w:pPr>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30DCB"/>
    <w:multiLevelType w:val="singleLevel"/>
    <w:tmpl w:val="66930DC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4MzQwNjZmZTdlYWYwMmE4ODllMzAwZGExZDM3NGEifQ=="/>
  </w:docVars>
  <w:rsids>
    <w:rsidRoot w:val="00A31D8F"/>
    <w:rsid w:val="00074A38"/>
    <w:rsid w:val="000F5F80"/>
    <w:rsid w:val="001D2421"/>
    <w:rsid w:val="004A337C"/>
    <w:rsid w:val="004C0BE5"/>
    <w:rsid w:val="00811FE7"/>
    <w:rsid w:val="008903E0"/>
    <w:rsid w:val="00A31D8F"/>
    <w:rsid w:val="18F50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autoRedefine/>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character" w:customStyle="1" w:styleId="11">
    <w:name w:val="标题 4 字符"/>
    <w:basedOn w:val="8"/>
    <w:link w:val="3"/>
    <w:uiPriority w:val="0"/>
    <w:rPr>
      <w:rFonts w:ascii="Times New Roman" w:hAnsi="Times New Roman" w:eastAsia="宋体" w:cs="Times New Roman"/>
      <w:b/>
      <w:bCs/>
      <w:szCs w:val="32"/>
    </w:rPr>
  </w:style>
  <w:style w:type="character" w:styleId="12">
    <w:name w:val="Placeholder Text"/>
    <w:basedOn w:val="8"/>
    <w:semiHidden/>
    <w:uiPriority w:val="99"/>
    <w:rPr>
      <w:color w:val="808080"/>
    </w:rPr>
  </w:style>
  <w:style w:type="table" w:customStyle="1" w:styleId="13">
    <w:name w:val="网格型1"/>
    <w:basedOn w:val="6"/>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uiPriority w:val="1"/>
    <w:rPr>
      <w:rFonts w:eastAsiaTheme="minorEastAsia"/>
      <w:sz w:val="21"/>
    </w:rPr>
  </w:style>
  <w:style w:type="character" w:customStyle="1" w:styleId="15">
    <w:name w:val="标题 3 字符"/>
    <w:basedOn w:val="8"/>
    <w:link w:val="2"/>
    <w:semiHidden/>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Words>
  <Characters>216</Characters>
  <Lines>1</Lines>
  <Paragraphs>1</Paragraphs>
  <TotalTime>10</TotalTime>
  <ScaleCrop>false</ScaleCrop>
  <LinksUpToDate>false</LinksUpToDate>
  <CharactersWithSpaces>252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2019-07-12T08:12:00Z</dcterms:created>
  <dc:creator>dongYP</dc:creator>
  <cp:lastModifiedBy>微信用户</cp:lastModifiedBy>
  <dcterms:modified xsi:type="dcterms:W3CDTF">2024-03-16T11:06:45Z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D3C1B40281CB406FBF4141C143568F8D_12</vt:lpwstr>
  </property>
</Properties>
</file>