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住区热环境设计报告书</w:t>
      </w:r>
    </w:p>
    <w:p>
      <w:pPr>
        <w:pStyle w:val="19"/>
        <w:rPr>
          <w:lang w:val="en-US"/>
        </w:rPr>
      </w:pPr>
      <w:r>
        <w:rPr>
          <w:rFonts w:hint="eastAsia"/>
          <w:lang w:val="en-US"/>
        </w:rPr>
        <w:t>（规定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57" w:name="_GoBack" w:colFirst="1" w:colLast="1"/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  <w:vAlign w:val="top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木苏·居春——龙胜干栏式民居绿色、低碳、宜居改造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t>桂林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vAlign w:val="top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设计编号"/>
            <w:bookmarkEnd w:id="1"/>
            <w:r>
              <w:rPr>
                <w:rFonts w:ascii="宋体" w:hAnsi="宋体" w:eastAsia="宋体" w:cs="宋体"/>
                <w:sz w:val="24"/>
                <w:szCs w:val="24"/>
              </w:rPr>
              <w:t>YB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2" w:name="建设单位"/>
            <w:bookmarkEnd w:id="2"/>
            <w:r>
              <w:rPr>
                <w:rFonts w:ascii="宋体" w:hAnsi="宋体" w:eastAsia="宋体" w:cs="宋体"/>
                <w:sz w:val="24"/>
                <w:szCs w:val="24"/>
              </w:rPr>
              <w:t>桂林电子科技大学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vAlign w:val="top"/>
          </w:tcPr>
          <w:p>
            <w:pPr>
              <w:rPr>
                <w:rFonts w:ascii="宋体" w:hAnsi="宋体"/>
                <w:szCs w:val="21"/>
              </w:rPr>
            </w:pPr>
            <w:bookmarkStart w:id="3" w:name="设计单位"/>
            <w:bookmarkEnd w:id="3"/>
            <w:r>
              <w:rPr>
                <w:rFonts w:ascii="宋体" w:hAnsi="宋体" w:eastAsia="宋体" w:cs="宋体"/>
                <w:sz w:val="24"/>
                <w:szCs w:val="24"/>
              </w:rPr>
              <w:t>桂林电子科技大学</w:t>
            </w:r>
          </w:p>
        </w:tc>
      </w:tr>
      <w:bookmarkEnd w:id="5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报告日期"/>
            <w:r>
              <w:rPr>
                <w:rFonts w:ascii="宋体" w:hAnsi="宋体"/>
                <w:szCs w:val="21"/>
              </w:rPr>
              <w:t>2023年12月28日</w:t>
            </w:r>
            <w:bookmarkEnd w:id="4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5" w:name="二维码"/>
      <w:bookmarkEnd w:id="5"/>
      <w:r>
        <w:drawing>
          <wp:inline distT="0" distB="0" distL="0" distR="0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6" w:name="软件全称"/>
            <w:r>
              <w:rPr>
                <w:rFonts w:hint="eastAsia" w:ascii="宋体" w:hAnsi="宋体"/>
              </w:rPr>
              <w:t>住区热环境TERA2023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7" w:name="软件版本"/>
            <w:r>
              <w:t>20220808(SP1)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加密锁号"/>
            <w:r>
              <w:t>T18589831798</w:t>
            </w:r>
            <w:bookmarkEnd w:id="8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bookmarkStart w:id="9" w:name="目录"/>
      <w:bookmarkEnd w:id="9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"_Toc154697727" </w:instrText>
      </w:r>
      <w:r>
        <w:fldChar w:fldCharType="separate"/>
      </w:r>
      <w:r>
        <w:rPr>
          <w:rStyle w:val="25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住区概况</w:t>
      </w:r>
      <w:r>
        <w:tab/>
      </w:r>
      <w:r>
        <w:fldChar w:fldCharType="begin"/>
      </w:r>
      <w:r>
        <w:instrText xml:space="preserve"> PAGEREF _Toc154697727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"_Toc154697728" </w:instrText>
      </w:r>
      <w:r>
        <w:fldChar w:fldCharType="separate"/>
      </w:r>
      <w:r>
        <w:rPr>
          <w:rStyle w:val="25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设计依据</w:t>
      </w:r>
      <w:r>
        <w:tab/>
      </w:r>
      <w:r>
        <w:fldChar w:fldCharType="begin"/>
      </w:r>
      <w:r>
        <w:instrText xml:space="preserve"> PAGEREF _Toc154697728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"_Toc154697729" </w:instrText>
      </w:r>
      <w:r>
        <w:fldChar w:fldCharType="separate"/>
      </w:r>
      <w:r>
        <w:rPr>
          <w:rStyle w:val="25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计算规定</w:t>
      </w:r>
      <w:r>
        <w:tab/>
      </w:r>
      <w:r>
        <w:fldChar w:fldCharType="begin"/>
      </w:r>
      <w:r>
        <w:instrText xml:space="preserve"> PAGEREF _Toc154697729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"_Toc154697730" </w:instrText>
      </w:r>
      <w:r>
        <w:fldChar w:fldCharType="separate"/>
      </w:r>
      <w:r>
        <w:rPr>
          <w:rStyle w:val="25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强制条文</w:t>
      </w:r>
      <w:r>
        <w:tab/>
      </w:r>
      <w:r>
        <w:fldChar w:fldCharType="begin"/>
      </w:r>
      <w:r>
        <w:instrText xml:space="preserve"> PAGEREF _Toc154697730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"_Toc154697731" </w:instrText>
      </w:r>
      <w:r>
        <w:fldChar w:fldCharType="separate"/>
      </w:r>
      <w:r>
        <w:rPr>
          <w:rStyle w:val="25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规定性设计</w:t>
      </w:r>
      <w:r>
        <w:tab/>
      </w:r>
      <w:r>
        <w:fldChar w:fldCharType="begin"/>
      </w:r>
      <w:r>
        <w:instrText xml:space="preserve"> PAGEREF _Toc154697731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"_Toc154697732" </w:instrText>
      </w:r>
      <w:r>
        <w:fldChar w:fldCharType="separate"/>
      </w:r>
      <w:r>
        <w:rPr>
          <w:rStyle w:val="25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计算参数</w:t>
      </w:r>
      <w:r>
        <w:tab/>
      </w:r>
      <w:r>
        <w:fldChar w:fldCharType="begin"/>
      </w:r>
      <w:r>
        <w:instrText xml:space="preserve"> PAGEREF _Toc154697732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"_Toc154697733" </w:instrText>
      </w:r>
      <w:r>
        <w:fldChar w:fldCharType="separate"/>
      </w:r>
      <w:r>
        <w:rPr>
          <w:rStyle w:val="25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典型气象日气象参数</w:t>
      </w:r>
      <w:r>
        <w:tab/>
      </w:r>
      <w:r>
        <w:fldChar w:fldCharType="begin"/>
      </w:r>
      <w:r>
        <w:instrText xml:space="preserve"> PAGEREF _Toc154697733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"_Toc154697734" </w:instrText>
      </w:r>
      <w:r>
        <w:fldChar w:fldCharType="separate"/>
      </w:r>
      <w:r>
        <w:rPr>
          <w:rStyle w:val="25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渗透面夏季逐时蒸发量</w:t>
      </w:r>
      <w:r>
        <w:tab/>
      </w:r>
      <w:r>
        <w:fldChar w:fldCharType="begin"/>
      </w:r>
      <w:r>
        <w:instrText xml:space="preserve"> PAGEREF _Toc154697734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"_Toc154697735" </w:instrText>
      </w:r>
      <w:r>
        <w:fldChar w:fldCharType="separate"/>
      </w:r>
      <w:r>
        <w:rPr>
          <w:rStyle w:val="25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住区指标概览</w:t>
      </w:r>
      <w:r>
        <w:tab/>
      </w:r>
      <w:r>
        <w:fldChar w:fldCharType="begin"/>
      </w:r>
      <w:r>
        <w:instrText xml:space="preserve"> PAGEREF _Toc154697735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"_Toc154697736" </w:instrText>
      </w:r>
      <w:r>
        <w:fldChar w:fldCharType="separate"/>
      </w:r>
      <w:r>
        <w:rPr>
          <w:rStyle w:val="25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强制性设计指标</w:t>
      </w:r>
      <w:r>
        <w:tab/>
      </w:r>
      <w:r>
        <w:fldChar w:fldCharType="begin"/>
      </w:r>
      <w:r>
        <w:instrText xml:space="preserve"> PAGEREF _Toc154697736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"_Toc154697737" </w:instrText>
      </w:r>
      <w:r>
        <w:fldChar w:fldCharType="separate"/>
      </w:r>
      <w:r>
        <w:rPr>
          <w:rStyle w:val="25"/>
          <w:lang w:val="en-GB"/>
        </w:rPr>
        <w:t>6.1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平均迎风面积比</w:t>
      </w:r>
      <w:r>
        <w:tab/>
      </w:r>
      <w:r>
        <w:fldChar w:fldCharType="begin"/>
      </w:r>
      <w:r>
        <w:instrText xml:space="preserve"> PAGEREF _Toc154697737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"_Toc154697738" </w:instrText>
      </w:r>
      <w:r>
        <w:fldChar w:fldCharType="separate"/>
      </w:r>
      <w:r>
        <w:rPr>
          <w:rStyle w:val="25"/>
          <w:lang w:val="en-GB"/>
        </w:rPr>
        <w:t>6.2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活动场地遮阳覆盖率</w:t>
      </w:r>
      <w:r>
        <w:tab/>
      </w:r>
      <w:r>
        <w:fldChar w:fldCharType="begin"/>
      </w:r>
      <w:r>
        <w:instrText xml:space="preserve"> PAGEREF _Toc154697738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"_Toc154697739" </w:instrText>
      </w:r>
      <w:r>
        <w:fldChar w:fldCharType="separate"/>
      </w:r>
      <w:r>
        <w:rPr>
          <w:rStyle w:val="25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规定性设计指标</w:t>
      </w:r>
      <w:r>
        <w:tab/>
      </w:r>
      <w:r>
        <w:fldChar w:fldCharType="begin"/>
      </w:r>
      <w:r>
        <w:instrText xml:space="preserve"> PAGEREF _Toc154697739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"_Toc154697740" </w:instrText>
      </w:r>
      <w:r>
        <w:fldChar w:fldCharType="separate"/>
      </w:r>
      <w:r>
        <w:rPr>
          <w:rStyle w:val="25"/>
          <w:lang w:val="en-GB"/>
        </w:rPr>
        <w:t>7.1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底层通风架空率</w:t>
      </w:r>
      <w:r>
        <w:tab/>
      </w:r>
      <w:r>
        <w:fldChar w:fldCharType="begin"/>
      </w:r>
      <w:r>
        <w:instrText xml:space="preserve"> PAGEREF _Toc154697740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"_Toc154697741" </w:instrText>
      </w:r>
      <w:r>
        <w:fldChar w:fldCharType="separate"/>
      </w:r>
      <w:r>
        <w:rPr>
          <w:rStyle w:val="25"/>
          <w:lang w:val="en-GB"/>
        </w:rPr>
        <w:t>7.2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绿化遮阳体叶面积指数</w:t>
      </w:r>
      <w:r>
        <w:tab/>
      </w:r>
      <w:r>
        <w:fldChar w:fldCharType="begin"/>
      </w:r>
      <w:r>
        <w:instrText xml:space="preserve"> PAGEREF _Toc154697741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"_Toc154697742" </w:instrText>
      </w:r>
      <w:r>
        <w:fldChar w:fldCharType="separate"/>
      </w:r>
      <w:r>
        <w:rPr>
          <w:rStyle w:val="25"/>
          <w:lang w:val="en-GB"/>
        </w:rPr>
        <w:t>7.3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渗透蒸发指标</w:t>
      </w:r>
      <w:r>
        <w:tab/>
      </w:r>
      <w:r>
        <w:fldChar w:fldCharType="begin"/>
      </w:r>
      <w:r>
        <w:instrText xml:space="preserve"> PAGEREF _Toc154697742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"_Toc154697743" </w:instrText>
      </w:r>
      <w:r>
        <w:fldChar w:fldCharType="separate"/>
      </w:r>
      <w:r>
        <w:rPr>
          <w:rStyle w:val="25"/>
          <w:lang w:val="en-GB"/>
        </w:rPr>
        <w:t>7.4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5"/>
        </w:rPr>
        <w:t>屋面绿化率</w:t>
      </w:r>
      <w:r>
        <w:tab/>
      </w:r>
      <w:r>
        <w:fldChar w:fldCharType="begin"/>
      </w:r>
      <w:r>
        <w:instrText xml:space="preserve"> PAGEREF _Toc154697743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</w:pPr>
      <w:r>
        <w:fldChar w:fldCharType="begin"/>
      </w:r>
      <w:r>
        <w:instrText xml:space="preserve"> HYPERLINK \l "_Toc154697744" </w:instrText>
      </w:r>
      <w:r>
        <w:fldChar w:fldCharType="separate"/>
      </w:r>
      <w:r>
        <w:rPr>
          <w:rStyle w:val="25"/>
        </w:rPr>
        <w:t>8</w:t>
      </w:r>
      <w:r>
        <w:rPr>
          <w:rFonts w:asciiTheme="minorHAnsi" w:hAnsiTheme="minorHAnsi" w:eastAsiaTheme="minorEastAsia" w:cstheme="minorBidi"/>
          <w:b w:val="0"/>
          <w:bCs w:val="0"/>
          <w:szCs w:val="22"/>
          <w14:ligatures w14:val="standardContextual"/>
        </w:rPr>
        <w:tab/>
      </w:r>
      <w:r>
        <w:rPr>
          <w:rStyle w:val="25"/>
        </w:rPr>
        <w:t>结论</w:t>
      </w:r>
      <w:r>
        <w:tab/>
      </w:r>
      <w:r>
        <w:fldChar w:fldCharType="begin"/>
      </w:r>
      <w:r>
        <w:instrText xml:space="preserve"> PAGEREF _Toc154697744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0" w:name="_Toc154697727"/>
      <w:r>
        <w:rPr>
          <w:rFonts w:hint="eastAsia"/>
        </w:rPr>
        <w:t>住区概况</w:t>
      </w:r>
      <w:bookmarkEnd w:id="10"/>
    </w:p>
    <w:tbl>
      <w:tblPr>
        <w:tblStyle w:val="20"/>
        <w:tblpPr w:leftFromText="180" w:rightFromText="180" w:vertAnchor="text" w:horzAnchor="margin" w:tblpXSpec="center" w:tblpY="191"/>
        <w:tblW w:w="488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114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1" w:name="工程名称1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地点"/>
            <w:r>
              <w:t>桂林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3" w:name="纬度"/>
            <w:r>
              <w:t>25.33</w:t>
            </w:r>
            <w:bookmarkEnd w:id="13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3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4" w:name="经度"/>
            <w:r>
              <w:t>110.30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气候区"/>
            <w:r>
              <w:t>IIIB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主导风向"/>
            <w:r>
              <w:t>南</w:t>
            </w:r>
            <w:bookmarkEnd w:id="16"/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17" w:name="总图鸟瞰图"/>
      <w:bookmarkEnd w:id="17"/>
      <w:r>
        <w:drawing>
          <wp:inline distT="0" distB="0" distL="0" distR="0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bookmarkStart w:id="18" w:name="OLE_LINK3"/>
      <w:bookmarkStart w:id="19" w:name="OLE_LINK4"/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  <w:bookmarkEnd w:id="18"/>
      <w:bookmarkEnd w:id="19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0" w:name="总图平面图"/>
      <w:bookmarkEnd w:id="20"/>
      <w:r>
        <w:drawing>
          <wp:inline distT="0" distB="0" distL="0" distR="0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bookmarkStart w:id="21" w:name="_Toc154697728"/>
      <w:bookmarkStart w:id="22" w:name="TitleFormat"/>
      <w:r>
        <w:rPr>
          <w:rFonts w:hint="eastAsia"/>
        </w:rPr>
        <w:t>设计依据</w:t>
      </w:r>
      <w:bookmarkEnd w:id="21"/>
    </w:p>
    <w:p>
      <w:pPr>
        <w:widowControl w:val="0"/>
        <w:jc w:val="both"/>
        <w:rPr>
          <w:kern w:val="2"/>
          <w:szCs w:val="24"/>
          <w:lang w:val="en-US"/>
        </w:rPr>
      </w:pPr>
      <w:bookmarkStart w:id="23" w:name="计算依据"/>
      <w:r>
        <w:t>1. 《绿色建筑评价标准》GB/T 50378-2019</w:t>
      </w:r>
      <w:r>
        <w:br w:type="textWrapping"/>
      </w:r>
      <w:r>
        <w:t>2. 《城市居住区热环境设计标准》JGJ 286-2013</w:t>
      </w:r>
      <w:bookmarkEnd w:id="22"/>
      <w:bookmarkEnd w:id="23"/>
    </w:p>
    <w:p>
      <w:pPr>
        <w:pStyle w:val="2"/>
      </w:pPr>
      <w:bookmarkStart w:id="24" w:name="_Toc154697729"/>
      <w:r>
        <w:rPr>
          <w:rFonts w:hint="eastAsia"/>
        </w:rPr>
        <w:t>计算规定</w:t>
      </w:r>
      <w:bookmarkEnd w:id="24"/>
    </w:p>
    <w:p>
      <w:pPr>
        <w:pStyle w:val="3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hint="eastAsia" w:ascii="Arial" w:hAnsi="Arial" w:cs="Arial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>
      <w:pPr>
        <w:pStyle w:val="4"/>
      </w:pPr>
      <w:bookmarkStart w:id="25" w:name="_Toc154697730"/>
      <w:r>
        <w:rPr>
          <w:rFonts w:hint="eastAsia"/>
        </w:rPr>
        <w:t>强制条文</w:t>
      </w:r>
      <w:bookmarkEnd w:id="25"/>
    </w:p>
    <w:p>
      <w:pPr>
        <w:pStyle w:val="3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居住区的夏季平均迎风面积比应符合表4．1．1的规定。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表4．1．1 居住区的夏季平均迎风面积比（ζ</w:t>
      </w:r>
      <w:r>
        <w:rPr>
          <w:rStyle w:val="23"/>
          <w:rFonts w:ascii="Arial" w:hAnsi="Arial" w:cs="Arial"/>
          <w:color w:val="333333"/>
          <w:sz w:val="21"/>
          <w:szCs w:val="21"/>
          <w:vertAlign w:val="subscript"/>
        </w:rPr>
        <w:t>s</w:t>
      </w:r>
      <w:r>
        <w:rPr>
          <w:rStyle w:val="23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III、V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0.70</w:t>
            </w:r>
          </w:p>
        </w:tc>
      </w:tr>
    </w:tbl>
    <w:p>
      <w:pPr>
        <w:pStyle w:val="1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>
      <w:pPr>
        <w:pStyle w:val="18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hint="eastAsia" w:ascii="Times New Roman" w:hAnsi="Times New Roman" w:cs="Times New Roman"/>
          <w:kern w:val="2"/>
          <w:sz w:val="21"/>
        </w:rPr>
        <w:t>（2）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hint="eastAsia" w:ascii="Times New Roman" w:hAnsi="Times New Roman" w:cs="Times New Roman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居住区夏季户外活动场地应有遮阳，遮阳覆盖率不应小于表4．2．1的规定。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表4．2．1 居住区活动场地的遮阳覆盖率限值(％)</w:t>
      </w:r>
    </w:p>
    <w:tbl>
      <w:tblPr>
        <w:tblStyle w:val="21"/>
        <w:tblW w:w="0" w:type="auto"/>
        <w:tblInd w:w="1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restart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建筑气候区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vMerge w:val="continue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I、II、VI、VII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1"/>
                <w:szCs w:val="21"/>
              </w:rPr>
              <w:t>III、IV、V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游憩场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>
            <w:pPr>
              <w:pStyle w:val="18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50</w:t>
            </w:r>
          </w:p>
        </w:tc>
      </w:tr>
    </w:tbl>
    <w:p>
      <w:pPr>
        <w:pStyle w:val="4"/>
      </w:pPr>
      <w:bookmarkStart w:id="26" w:name="_Toc154697731"/>
      <w:r>
        <w:rPr>
          <w:rFonts w:hint="eastAsia"/>
        </w:rPr>
        <w:t>规定性设计</w:t>
      </w:r>
      <w:bookmarkEnd w:id="26"/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（1）4.1.4：在Ⅲ、Ⅳ、Ⅴ建筑气候区，当夏季主导风向上的建筑物迎风面宽度超过80m时，该建筑底层的通风架空率不应小于10％。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（2）4.2.3：</w:t>
      </w:r>
      <w:r>
        <w:rPr>
          <w:rFonts w:ascii="Times New Roman" w:hAnsi="Times New Roman" w:cs="Times New Roman"/>
          <w:bCs/>
          <w:kern w:val="2"/>
        </w:rPr>
        <w:t>绿化遮阳体的叶面积指数不应小于3</w:t>
      </w:r>
      <w:r>
        <w:rPr>
          <w:rFonts w:hint="eastAsia" w:ascii="Times New Roman" w:hAnsi="Times New Roman" w:cs="Times New Roman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（3）4.3.1：居住区户外活动场地和人行道路地面应有雨水渗透与蒸发能力，渗透与蒸发指标不应低于表4.3.1的规定。</w:t>
      </w:r>
    </w:p>
    <w:p>
      <w:pPr>
        <w:pStyle w:val="18"/>
        <w:shd w:val="clear" w:color="auto" w:fill="FFFFFF"/>
        <w:spacing w:before="0" w:beforeAutospacing="0" w:after="0" w:afterAutospacing="0"/>
        <w:ind w:firstLine="420"/>
        <w:jc w:val="center"/>
        <w:rPr>
          <w:rStyle w:val="23"/>
          <w:rFonts w:ascii="Arial" w:hAnsi="Arial" w:cs="Arial"/>
          <w:color w:val="333333"/>
          <w:sz w:val="21"/>
          <w:szCs w:val="21"/>
        </w:rPr>
      </w:pPr>
      <w:r>
        <w:rPr>
          <w:rStyle w:val="23"/>
          <w:rFonts w:ascii="Arial" w:hAnsi="Arial" w:cs="Arial"/>
          <w:color w:val="333333"/>
          <w:sz w:val="21"/>
          <w:szCs w:val="21"/>
        </w:rPr>
        <w:t>表4．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3</w:t>
      </w:r>
      <w:r>
        <w:rPr>
          <w:rStyle w:val="23"/>
          <w:rFonts w:ascii="Arial" w:hAnsi="Arial" w:cs="Arial"/>
          <w:color w:val="333333"/>
          <w:sz w:val="21"/>
          <w:szCs w:val="21"/>
        </w:rPr>
        <w:t>．1 居住区</w:t>
      </w:r>
      <w:r>
        <w:rPr>
          <w:rStyle w:val="23"/>
          <w:rFonts w:hint="eastAsia" w:ascii="Arial" w:hAnsi="Arial" w:cs="Arial"/>
          <w:color w:val="333333"/>
          <w:sz w:val="21"/>
          <w:szCs w:val="21"/>
        </w:rPr>
        <w:t>地面渗透蒸发指标</w:t>
      </w:r>
    </w:p>
    <w:tbl>
      <w:tblPr>
        <w:tblStyle w:val="20"/>
        <w:tblW w:w="974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I、II、VI、VII气候区</w:t>
            </w:r>
          </w:p>
        </w:tc>
        <w:tc>
          <w:tcPr>
            <w:tcW w:w="44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III、IV、V气候区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4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2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渗透面积比率β（%）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地面透水系数k（mm/s）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蒸发量m（kg/㎡·d）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hint="eastAsia" w:ascii="微软雅黑" w:hAnsi="微软雅黑" w:cs="Arial" w:eastAsiaTheme="minorEastAsia"/>
                <w:color w:val="000000" w:themeColor="text1"/>
                <w:kern w:val="2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>
      <w:pPr>
        <w:pStyle w:val="1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hint="eastAsia" w:ascii="Times New Roman" w:hAnsi="Times New Roman" w:cs="Times New Roman"/>
          <w:bCs/>
          <w:kern w:val="2"/>
        </w:rPr>
        <w:t>（4）居住区内建筑屋面的绿化面积不应低于可绿化屋面面积的50％。</w:t>
      </w:r>
    </w:p>
    <w:p>
      <w:pPr>
        <w:pStyle w:val="3"/>
        <w:ind w:firstLine="199" w:firstLineChars="95"/>
        <w:rPr>
          <w:lang w:val="en-US"/>
        </w:rPr>
      </w:pPr>
      <w:r>
        <w:rPr>
          <w:rFonts w:hint="eastAsia"/>
          <w:lang w:val="en-US"/>
        </w:rPr>
        <w:t>当以上4条有任意一条不能满足时候，需要进行评价性设计。</w:t>
      </w:r>
    </w:p>
    <w:p>
      <w:pPr>
        <w:pStyle w:val="2"/>
      </w:pPr>
      <w:bookmarkStart w:id="27" w:name="_Toc154697732"/>
      <w:r>
        <w:rPr>
          <w:rFonts w:hint="eastAsia"/>
        </w:rPr>
        <w:t>计算参数</w:t>
      </w:r>
      <w:bookmarkEnd w:id="27"/>
    </w:p>
    <w:p>
      <w:pPr>
        <w:pStyle w:val="4"/>
      </w:pPr>
      <w:bookmarkStart w:id="28" w:name="_Toc154697733"/>
      <w:r>
        <w:rPr>
          <w:rFonts w:hint="eastAsia"/>
        </w:rPr>
        <w:t>典型气象日气象参数</w:t>
      </w:r>
      <w:bookmarkEnd w:id="2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干球温度</w:t>
            </w:r>
            <w:r>
              <w:br w:type="textWrapping"/>
            </w:r>
            <w:r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相对湿度(%)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水平总辐射照度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水平散射辐射照度</w:t>
            </w:r>
            <w:r>
              <w:br w:type="textWrapping"/>
            </w:r>
            <w:r>
              <w:t>(W/㎡)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风速(m/s)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>
            <w:pPr>
              <w:jc w:val="center"/>
            </w:pPr>
            <w:r>
              <w:t>主导风向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jc w:val="center"/>
            </w:pPr>
            <w:r>
              <w:t>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26.6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127.78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183.33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477.78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230.56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580.56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266.67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644.44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658.33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622.22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280.56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31.0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541.67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252.78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427.78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161.11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169.44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55.56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36.11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27.7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5.0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27.4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4.0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shd w:val="clear" w:color="auto" w:fill="E6E6E6"/>
            <w:vAlign w:val="center"/>
          </w:tcPr>
          <w:p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28.1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214.70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103.94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</w:pPr>
            <w:r>
              <w:t>4.3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气象参数"/>
      <w:bookmarkEnd w:id="29"/>
    </w:p>
    <w:p>
      <w:pPr>
        <w:pStyle w:val="4"/>
      </w:pPr>
      <w:bookmarkStart w:id="30" w:name="_Toc154697734"/>
      <w:r>
        <w:rPr>
          <w:rFonts w:hint="eastAsia"/>
        </w:rPr>
        <w:t>渗透面夏季逐时蒸发量</w:t>
      </w:r>
      <w:bookmarkEnd w:id="3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水面(kg/(㎡.h))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绿地(kg/(㎡.h))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渗透型硬地</w:t>
            </w:r>
            <w:r>
              <w:br w:type="textWrapping"/>
            </w:r>
            <w:r>
              <w:t>(kg/(㎡.h))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绿化屋面</w:t>
            </w:r>
            <w:r>
              <w:br w:type="textWrapping"/>
            </w:r>
            <w:r>
              <w:t>(kg/(㎡.h))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0.50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0.43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0.92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0.78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0.39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0.04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日累计(kg/(㎡.d))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10.06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6.03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1.30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</w:pPr>
            <w:r>
              <w:t>4.80</w:t>
            </w:r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31" w:name="蒸发量参数"/>
      <w:bookmarkEnd w:id="31"/>
    </w:p>
    <w:p>
      <w:pPr>
        <w:pStyle w:val="2"/>
      </w:pPr>
      <w:bookmarkStart w:id="32" w:name="_Toc154697735"/>
      <w:r>
        <w:rPr>
          <w:rFonts w:hint="eastAsia"/>
        </w:rPr>
        <w:t>住区指标概览</w:t>
      </w:r>
      <w:bookmarkEnd w:id="3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6"/>
        <w:gridCol w:w="46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地块面积(㎡)</w:t>
            </w:r>
          </w:p>
        </w:tc>
        <w:tc>
          <w:tcPr>
            <w:tcW w:w="4666" w:type="dxa"/>
            <w:vAlign w:val="center"/>
          </w:tcPr>
          <w:p>
            <w:r>
              <w:t>5108.66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tcW w:w="4666" w:type="dxa"/>
            <w:vAlign w:val="center"/>
          </w:tcPr>
          <w:p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tcW w:w="4666" w:type="dxa"/>
            <w:vAlign w:val="center"/>
          </w:tcPr>
          <w:p>
            <w:r>
              <w:t>3406.86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广场面积(㎡)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道路面积(㎡)</w:t>
            </w:r>
          </w:p>
        </w:tc>
        <w:tc>
          <w:tcPr>
            <w:tcW w:w="4666" w:type="dxa"/>
            <w:vAlign w:val="center"/>
          </w:tcPr>
          <w:p>
            <w:r>
              <w:t>263.38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绿地面积(㎡)</w:t>
            </w:r>
          </w:p>
        </w:tc>
        <w:tc>
          <w:tcPr>
            <w:tcW w:w="4666" w:type="dxa"/>
            <w:vAlign w:val="center"/>
          </w:tcPr>
          <w:p>
            <w:r>
              <w:t>1383.42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水面面积(㎡)</w:t>
            </w:r>
          </w:p>
        </w:tc>
        <w:tc>
          <w:tcPr>
            <w:tcW w:w="4666" w:type="dxa"/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绿化屋面面积(㎡)</w:t>
            </w:r>
          </w:p>
        </w:tc>
        <w:tc>
          <w:tcPr>
            <w:tcW w:w="4666" w:type="dxa"/>
            <w:vAlign w:val="center"/>
          </w:tcPr>
          <w:p>
            <w:r>
              <w:t>1034.29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乔木爬藤面积(㎡)</w:t>
            </w:r>
          </w:p>
        </w:tc>
        <w:tc>
          <w:tcPr>
            <w:tcW w:w="4666" w:type="dxa"/>
            <w:vAlign w:val="center"/>
          </w:tcPr>
          <w:p>
            <w:r>
              <w:t>630.91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亭廊面积(㎡)</w:t>
            </w:r>
          </w:p>
        </w:tc>
        <w:tc>
          <w:tcPr>
            <w:tcW w:w="4666" w:type="dxa"/>
            <w:vAlign w:val="center"/>
          </w:tcPr>
          <w:p>
            <w:r>
              <w:t>26.89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渗透型硬地面积(㎡)</w:t>
            </w:r>
          </w:p>
        </w:tc>
        <w:tc>
          <w:tcPr>
            <w:tcW w:w="4666" w:type="dxa"/>
            <w:vAlign w:val="center"/>
          </w:tcPr>
          <w:p>
            <w:r>
              <w:t>352.26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>
            <w:r>
              <w:t>0.78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地面粗糙系数</w:t>
            </w:r>
          </w:p>
        </w:tc>
        <w:tc>
          <w:tcPr>
            <w:tcW w:w="4666" w:type="dxa"/>
            <w:vAlign w:val="center"/>
          </w:tcPr>
          <w:p>
            <w:r>
              <w:t>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4666" w:type="dxa"/>
            <w:vAlign w:val="center"/>
          </w:tcPr>
          <w:p>
            <w:r>
              <w:t>0.79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CTTC居住区热时间常数(h)</w:t>
            </w:r>
          </w:p>
        </w:tc>
        <w:tc>
          <w:tcPr>
            <w:tcW w:w="4666" w:type="dxa"/>
            <w:vAlign w:val="center"/>
          </w:tcPr>
          <w:p>
            <w:r>
              <w:t>11.23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绿化遮阳覆盖率(%)</w:t>
            </w:r>
          </w:p>
        </w:tc>
        <w:tc>
          <w:tcPr>
            <w:tcW w:w="4666" w:type="dxa"/>
            <w:vAlign w:val="center"/>
          </w:tcPr>
          <w:p>
            <w:r>
              <w:t>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构筑物遮阳覆盖率(%)</w:t>
            </w:r>
          </w:p>
        </w:tc>
        <w:tc>
          <w:tcPr>
            <w:tcW w:w="4666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平均天空角系数</w:t>
            </w:r>
          </w:p>
        </w:tc>
        <w:tc>
          <w:tcPr>
            <w:tcW w:w="4666" w:type="dxa"/>
            <w:vAlign w:val="center"/>
          </w:tcPr>
          <w:p>
            <w:r>
              <w:t>0.67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6" w:type="dxa"/>
            <w:shd w:val="clear" w:color="auto" w:fill="E6E6E6"/>
            <w:vAlign w:val="center"/>
          </w:tcPr>
          <w:p>
            <w:r>
              <w:t>通风架空率(%)</w:t>
            </w:r>
          </w:p>
        </w:tc>
        <w:tc>
          <w:tcPr>
            <w:tcW w:w="4666" w:type="dxa"/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3" w:name="住区指标概览"/>
      <w:bookmarkEnd w:id="33"/>
    </w:p>
    <w:p>
      <w:pPr>
        <w:pStyle w:val="2"/>
      </w:pPr>
      <w:bookmarkStart w:id="34" w:name="_Toc154697736"/>
      <w:r>
        <w:rPr>
          <w:rFonts w:hint="eastAsia"/>
        </w:rPr>
        <w:t>强制性</w:t>
      </w:r>
      <w:r>
        <w:t>设计指标</w:t>
      </w:r>
      <w:bookmarkEnd w:id="34"/>
    </w:p>
    <w:p>
      <w:pPr>
        <w:pStyle w:val="4"/>
      </w:pPr>
      <w:bookmarkStart w:id="35" w:name="_Toc154697737"/>
      <w:r>
        <w:rPr>
          <w:rFonts w:hint="eastAsia"/>
        </w:rPr>
        <w:t>平均迎风面积比</w:t>
      </w:r>
      <w:bookmarkEnd w:id="3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最大可能</w:t>
            </w:r>
            <w:r>
              <w:br w:type="textWrapping"/>
            </w:r>
            <w:r>
              <w:t>迎风方向(°)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其他建筑</w:t>
            </w:r>
          </w:p>
        </w:tc>
        <w:tc>
          <w:tcPr>
            <w:tcW w:w="1866" w:type="dxa"/>
            <w:vAlign w:val="center"/>
          </w:tcPr>
          <w:p>
            <w:r>
              <w:t>829.39</w:t>
            </w:r>
          </w:p>
        </w:tc>
        <w:tc>
          <w:tcPr>
            <w:tcW w:w="1866" w:type="dxa"/>
            <w:vAlign w:val="center"/>
          </w:tcPr>
          <w:p>
            <w:r>
              <w:t>955.09</w:t>
            </w:r>
          </w:p>
        </w:tc>
        <w:tc>
          <w:tcPr>
            <w:tcW w:w="1866" w:type="dxa"/>
            <w:vAlign w:val="center"/>
          </w:tcPr>
          <w:p>
            <w:r>
              <w:t>170.00</w:t>
            </w:r>
          </w:p>
        </w:tc>
        <w:tc>
          <w:tcPr>
            <w:tcW w:w="1866" w:type="dxa"/>
            <w:vAlign w:val="center"/>
          </w:tcPr>
          <w:p>
            <w:r>
              <w:t>0.8684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木构</w:t>
            </w:r>
          </w:p>
        </w:tc>
        <w:tc>
          <w:tcPr>
            <w:tcW w:w="1866" w:type="dxa"/>
            <w:vAlign w:val="center"/>
          </w:tcPr>
          <w:p>
            <w:r>
              <w:t>66.76</w:t>
            </w:r>
          </w:p>
        </w:tc>
        <w:tc>
          <w:tcPr>
            <w:tcW w:w="1866" w:type="dxa"/>
            <w:vAlign w:val="center"/>
          </w:tcPr>
          <w:p>
            <w:r>
              <w:t>109.77</w:t>
            </w:r>
          </w:p>
        </w:tc>
        <w:tc>
          <w:tcPr>
            <w:tcW w:w="1866" w:type="dxa"/>
            <w:vAlign w:val="center"/>
          </w:tcPr>
          <w:p>
            <w:r>
              <w:t>10.00</w:t>
            </w:r>
          </w:p>
        </w:tc>
        <w:tc>
          <w:tcPr>
            <w:tcW w:w="1866" w:type="dxa"/>
            <w:vAlign w:val="center"/>
          </w:tcPr>
          <w:p>
            <w:r>
              <w:t>0.6081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砖混</w:t>
            </w:r>
          </w:p>
        </w:tc>
        <w:tc>
          <w:tcPr>
            <w:tcW w:w="1866" w:type="dxa"/>
            <w:vAlign w:val="center"/>
          </w:tcPr>
          <w:p>
            <w:r>
              <w:t>160.18</w:t>
            </w:r>
          </w:p>
        </w:tc>
        <w:tc>
          <w:tcPr>
            <w:tcW w:w="1866" w:type="dxa"/>
            <w:vAlign w:val="center"/>
          </w:tcPr>
          <w:p>
            <w:r>
              <w:t>177.79</w:t>
            </w:r>
          </w:p>
        </w:tc>
        <w:tc>
          <w:tcPr>
            <w:tcW w:w="1866" w:type="dxa"/>
            <w:vAlign w:val="center"/>
          </w:tcPr>
          <w:p>
            <w:r>
              <w:t>170.00</w:t>
            </w:r>
          </w:p>
        </w:tc>
        <w:tc>
          <w:tcPr>
            <w:tcW w:w="1866" w:type="dxa"/>
            <w:vAlign w:val="center"/>
          </w:tcPr>
          <w:p>
            <w:r>
              <w:t>0.9009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0.792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《城市居住区热环境设计标准》4.1.1条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平均迎风面积比≤0.80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平均迎风面积比"/>
      <w:bookmarkEnd w:id="36"/>
    </w:p>
    <w:p>
      <w:pPr>
        <w:pStyle w:val="4"/>
      </w:pPr>
      <w:bookmarkStart w:id="37" w:name="_Toc154697738"/>
      <w:r>
        <w:rPr>
          <w:rFonts w:hint="eastAsia"/>
        </w:rPr>
        <w:t>活动场地遮阳覆盖率</w:t>
      </w:r>
      <w:bookmarkEnd w:id="37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场地面积(㎡)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遮阳覆盖率(%)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覆盖率限值(%)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1866" w:type="dxa"/>
            <w:vAlign w:val="center"/>
          </w:tcPr>
          <w:p>
            <w:r>
              <w:t>38.9</w:t>
            </w:r>
          </w:p>
        </w:tc>
        <w:tc>
          <w:tcPr>
            <w:tcW w:w="1866" w:type="dxa"/>
            <w:vAlign w:val="center"/>
          </w:tcPr>
          <w:p>
            <w:r>
              <w:t>88.9</w:t>
            </w:r>
          </w:p>
        </w:tc>
        <w:tc>
          <w:tcPr>
            <w:tcW w:w="1866" w:type="dxa"/>
            <w:vAlign w:val="center"/>
          </w:tcPr>
          <w:p>
            <w:r>
              <w:t>44</w:t>
            </w:r>
          </w:p>
        </w:tc>
        <w:tc>
          <w:tcPr>
            <w:tcW w:w="1866" w:type="dxa"/>
            <w:vAlign w:val="center"/>
          </w:tcPr>
          <w:p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140.6</w:t>
            </w:r>
          </w:p>
        </w:tc>
        <w:tc>
          <w:tcPr>
            <w:tcW w:w="1866" w:type="dxa"/>
            <w:vAlign w:val="center"/>
          </w:tcPr>
          <w:p>
            <w:r>
              <w:t>263.4</w:t>
            </w:r>
          </w:p>
        </w:tc>
        <w:tc>
          <w:tcPr>
            <w:tcW w:w="1866" w:type="dxa"/>
            <w:vAlign w:val="center"/>
          </w:tcPr>
          <w:p>
            <w:r>
              <w:t>53</w:t>
            </w:r>
          </w:p>
        </w:tc>
        <w:tc>
          <w:tcPr>
            <w:tcW w:w="1866" w:type="dxa"/>
            <w:vAlign w:val="center"/>
          </w:tcPr>
          <w:p>
            <w: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《城市居住区热环境设计标准》4.2.1条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各类活动场地遮阳覆盖率不得低于标准要求限值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rPr>
                <w:b/>
              </w:rP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8" w:name="活动场地遮阳覆盖率"/>
      <w:bookmarkEnd w:id="38"/>
    </w:p>
    <w:p>
      <w:pPr>
        <w:pStyle w:val="2"/>
      </w:pPr>
      <w:bookmarkStart w:id="39" w:name="_Toc154697739"/>
      <w:r>
        <w:rPr>
          <w:rFonts w:hint="eastAsia"/>
        </w:rPr>
        <w:t>规定性设计指标</w:t>
      </w:r>
      <w:bookmarkEnd w:id="39"/>
    </w:p>
    <w:p>
      <w:pPr>
        <w:pStyle w:val="4"/>
      </w:pPr>
      <w:bookmarkStart w:id="40" w:name="_Toc154697740"/>
      <w:r>
        <w:rPr>
          <w:rFonts w:hint="eastAsia"/>
        </w:rPr>
        <w:t>底层通风架空率</w:t>
      </w:r>
      <w:bookmarkEnd w:id="40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底层架空面积(㎡)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迎风面宽度(m)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底层通风架空率(%)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其他建筑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1190.6</w:t>
            </w:r>
          </w:p>
        </w:tc>
        <w:tc>
          <w:tcPr>
            <w:tcW w:w="1866" w:type="dxa"/>
            <w:vAlign w:val="center"/>
          </w:tcPr>
          <w:p>
            <w:r>
              <w:t>69.7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木构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344.3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砖混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165.8</w:t>
            </w:r>
          </w:p>
        </w:tc>
        <w:tc>
          <w:tcPr>
            <w:tcW w:w="1866" w:type="dxa"/>
            <w:vAlign w:val="center"/>
          </w:tcPr>
          <w:p>
            <w:r>
              <w:t>0.0</w:t>
            </w:r>
          </w:p>
        </w:tc>
        <w:tc>
          <w:tcPr>
            <w:tcW w:w="1866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《城市居住区热环境设计标准》4.1.4条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III、IV、V气候区，夏季主导风向迎风面积宽度超过80m时，底层通风架空率不应小于10%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1" w:name="底层通风架空率"/>
      <w:bookmarkEnd w:id="41"/>
    </w:p>
    <w:p>
      <w:pPr>
        <w:pStyle w:val="4"/>
      </w:pPr>
      <w:bookmarkStart w:id="42" w:name="_Toc154697741"/>
      <w:r>
        <w:rPr>
          <w:rFonts w:hint="eastAsia"/>
        </w:rPr>
        <w:t>绿化遮阳体叶面积指数</w:t>
      </w:r>
      <w:bookmarkEnd w:id="42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乔木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580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restart"/>
            <w:shd w:val="clear" w:color="auto" w:fill="E6E6E6"/>
            <w:vAlign w:val="center"/>
          </w:tcPr>
          <w:p>
            <w:r>
              <w:t>爬藤棚架</w:t>
            </w:r>
          </w:p>
        </w:tc>
        <w:tc>
          <w:tcPr>
            <w:tcW w:w="3110" w:type="dxa"/>
            <w:vAlign w:val="center"/>
          </w:tcPr>
          <w:p>
            <w:r>
              <w:t>LAI &gt;= 3</w:t>
            </w:r>
          </w:p>
        </w:tc>
        <w:tc>
          <w:tcPr>
            <w:tcW w:w="3110" w:type="dxa"/>
            <w:vAlign w:val="center"/>
          </w:tcPr>
          <w:p>
            <w:r>
              <w:t>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vMerge w:val="continue"/>
            <w:shd w:val="clear" w:color="auto" w:fill="E6E6E6"/>
            <w:vAlign w:val="center"/>
          </w:tcPr>
          <w:p/>
        </w:tc>
        <w:tc>
          <w:tcPr>
            <w:tcW w:w="3110" w:type="dxa"/>
            <w:vAlign w:val="center"/>
          </w:tcPr>
          <w:p>
            <w:r>
              <w:t>LAI &lt; 3</w:t>
            </w:r>
          </w:p>
        </w:tc>
        <w:tc>
          <w:tcPr>
            <w:tcW w:w="3110" w:type="dxa"/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《城市居住区热环境设计标准》4.2.3条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绿化遮阳体叶面积指数不应小于3.0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3" w:name="绿化遮阳体叶面积指数"/>
      <w:bookmarkEnd w:id="43"/>
    </w:p>
    <w:p>
      <w:pPr>
        <w:pStyle w:val="4"/>
      </w:pPr>
      <w:bookmarkStart w:id="44" w:name="_Toc154697742"/>
      <w:r>
        <w:rPr>
          <w:rFonts w:hint="eastAsia"/>
        </w:rPr>
        <w:t>渗透蒸发指标</w:t>
      </w:r>
      <w:bookmarkEnd w:id="44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地面透水系数k(mm/s)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蒸发量m</w:t>
            </w:r>
            <w:r>
              <w:br w:type="textWrapping"/>
            </w:r>
            <w:r>
              <w:t>(kg/(㎡·d))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1866" w:type="dxa"/>
            <w:vAlign w:val="center"/>
          </w:tcPr>
          <w:p>
            <w:r>
              <w:t>89</w:t>
            </w:r>
          </w:p>
        </w:tc>
        <w:tc>
          <w:tcPr>
            <w:tcW w:w="1866" w:type="dxa"/>
            <w:vAlign w:val="center"/>
          </w:tcPr>
          <w:p>
            <w:r>
              <w:t>0.252</w:t>
            </w:r>
          </w:p>
        </w:tc>
        <w:tc>
          <w:tcPr>
            <w:tcW w:w="1866" w:type="dxa"/>
            <w:vAlign w:val="center"/>
          </w:tcPr>
          <w:p>
            <w:r>
              <w:t>4.53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1866" w:type="dxa"/>
            <w:vAlign w:val="center"/>
          </w:tcPr>
          <w:p>
            <w:r>
              <w:t>263</w:t>
            </w:r>
          </w:p>
        </w:tc>
        <w:tc>
          <w:tcPr>
            <w:tcW w:w="1866" w:type="dxa"/>
            <w:vAlign w:val="center"/>
          </w:tcPr>
          <w:p>
            <w:r>
              <w:t>0.748</w:t>
            </w:r>
          </w:p>
        </w:tc>
        <w:tc>
          <w:tcPr>
            <w:tcW w:w="1866" w:type="dxa"/>
            <w:vAlign w:val="center"/>
          </w:tcPr>
          <w:p>
            <w:r>
              <w:t>3.07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352</w:t>
            </w:r>
          </w:p>
        </w:tc>
        <w:tc>
          <w:tcPr>
            <w:tcW w:w="1866" w:type="dxa"/>
            <w:vAlign w:val="center"/>
          </w:tcPr>
          <w:p>
            <w:r>
              <w:t>1.0</w:t>
            </w:r>
          </w:p>
        </w:tc>
        <w:tc>
          <w:tcPr>
            <w:tcW w:w="1866" w:type="dxa"/>
            <w:vAlign w:val="center"/>
          </w:tcPr>
          <w:p>
            <w:r>
              <w:t>3.44</w:t>
            </w:r>
          </w:p>
        </w:tc>
        <w:tc>
          <w:tcPr>
            <w:tcW w:w="1866" w:type="dxa"/>
            <w:vAlign w:val="center"/>
          </w:tcPr>
          <w:p>
            <w:r>
              <w:t>1.32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5" w:name="渗透蒸发指标"/>
      <w:bookmarkEnd w:id="45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3110"/>
        <w:gridCol w:w="311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渗透面积比率(%)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tcW w:w="3110" w:type="dxa"/>
            <w:vAlign w:val="center"/>
          </w:tcPr>
          <w:p>
            <w:r>
              <w:t>100</w:t>
            </w:r>
          </w:p>
        </w:tc>
        <w:tc>
          <w:tcPr>
            <w:tcW w:w="3110" w:type="dxa"/>
            <w:vAlign w:val="center"/>
          </w:tcPr>
          <w:p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2" w:type="dxa"/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渗透与蒸发指标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地面透水系数k(mm/s)</w:t>
            </w:r>
          </w:p>
        </w:tc>
        <w:tc>
          <w:tcPr>
            <w:tcW w:w="3110" w:type="dxa"/>
            <w:vAlign w:val="center"/>
          </w:tcPr>
          <w:p>
            <w:r>
              <w:t>3.44</w:t>
            </w:r>
          </w:p>
        </w:tc>
        <w:tc>
          <w:tcPr>
            <w:tcW w:w="3110" w:type="dxa"/>
            <w:vAlign w:val="center"/>
          </w:tcPr>
          <w:p>
            <w:r>
              <w:t>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蒸发量m(kg/(㎡·d))</w:t>
            </w:r>
          </w:p>
        </w:tc>
        <w:tc>
          <w:tcPr>
            <w:tcW w:w="3110" w:type="dxa"/>
            <w:vAlign w:val="center"/>
          </w:tcPr>
          <w:p>
            <w:r>
              <w:t>1.32</w:t>
            </w:r>
          </w:p>
        </w:tc>
        <w:tc>
          <w:tcPr>
            <w:tcW w:w="3110" w:type="dxa"/>
            <w:vAlign w:val="center"/>
          </w:tcPr>
          <w:p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《城市居住区热环境设计标准》4.3.1条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渗透面积比率、透水系数及蒸发量不应低于标准规定限值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2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6220" w:type="dxa"/>
            <w:gridSpan w:val="2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46" w:name="_Toc154697743"/>
      <w:r>
        <w:rPr>
          <w:rFonts w:hint="eastAsia"/>
        </w:rPr>
        <w:t>屋面绿化率</w:t>
      </w:r>
      <w:bookmarkEnd w:id="46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7"/>
        <w:gridCol w:w="1867"/>
        <w:gridCol w:w="186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屋面轮廓面积(㎡)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屋顶绿化面积(㎡)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可绿化屋面</w:t>
            </w:r>
            <w:r>
              <w:br w:type="textWrapping"/>
            </w:r>
            <w:r>
              <w:t>面积(㎡)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屋面绿化率(%)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其他建筑</w:t>
            </w:r>
          </w:p>
        </w:tc>
        <w:tc>
          <w:tcPr>
            <w:tcW w:w="1866" w:type="dxa"/>
            <w:vAlign w:val="center"/>
          </w:tcPr>
          <w:p>
            <w:r>
              <w:t>1190.6</w:t>
            </w:r>
          </w:p>
        </w:tc>
        <w:tc>
          <w:tcPr>
            <w:tcW w:w="1866" w:type="dxa"/>
            <w:vAlign w:val="center"/>
          </w:tcPr>
          <w:p>
            <w:r>
              <w:t>820.4</w:t>
            </w:r>
          </w:p>
        </w:tc>
        <w:tc>
          <w:tcPr>
            <w:tcW w:w="1866" w:type="dxa"/>
            <w:vAlign w:val="center"/>
          </w:tcPr>
          <w:p>
            <w:r>
              <w:t>1190.6</w:t>
            </w:r>
          </w:p>
        </w:tc>
        <w:tc>
          <w:tcPr>
            <w:tcW w:w="1866" w:type="dxa"/>
            <w:vAlign w:val="center"/>
          </w:tcPr>
          <w:p>
            <w:r>
              <w:t>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木构</w:t>
            </w:r>
          </w:p>
        </w:tc>
        <w:tc>
          <w:tcPr>
            <w:tcW w:w="1866" w:type="dxa"/>
            <w:vAlign w:val="center"/>
          </w:tcPr>
          <w:p>
            <w:r>
              <w:t>344.3</w:t>
            </w:r>
          </w:p>
        </w:tc>
        <w:tc>
          <w:tcPr>
            <w:tcW w:w="1866" w:type="dxa"/>
            <w:vAlign w:val="center"/>
          </w:tcPr>
          <w:p>
            <w:r>
              <w:t>248.0</w:t>
            </w:r>
          </w:p>
        </w:tc>
        <w:tc>
          <w:tcPr>
            <w:tcW w:w="1866" w:type="dxa"/>
            <w:vAlign w:val="center"/>
          </w:tcPr>
          <w:p>
            <w:r>
              <w:t>344.3</w:t>
            </w:r>
          </w:p>
        </w:tc>
        <w:tc>
          <w:tcPr>
            <w:tcW w:w="1866" w:type="dxa"/>
            <w:vAlign w:val="center"/>
          </w:tcPr>
          <w:p>
            <w:r>
              <w:t>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砖混</w:t>
            </w:r>
          </w:p>
        </w:tc>
        <w:tc>
          <w:tcPr>
            <w:tcW w:w="1866" w:type="dxa"/>
            <w:vAlign w:val="center"/>
          </w:tcPr>
          <w:p>
            <w:r>
              <w:t>165.8</w:t>
            </w:r>
          </w:p>
        </w:tc>
        <w:tc>
          <w:tcPr>
            <w:tcW w:w="1866" w:type="dxa"/>
            <w:vAlign w:val="center"/>
          </w:tcPr>
          <w:p>
            <w:r>
              <w:t>89.5</w:t>
            </w:r>
          </w:p>
        </w:tc>
        <w:tc>
          <w:tcPr>
            <w:tcW w:w="1866" w:type="dxa"/>
            <w:vAlign w:val="center"/>
          </w:tcPr>
          <w:p>
            <w:r>
              <w:t>165.8</w:t>
            </w:r>
          </w:p>
        </w:tc>
        <w:tc>
          <w:tcPr>
            <w:tcW w:w="1866" w:type="dxa"/>
            <w:vAlign w:val="center"/>
          </w:tcPr>
          <w:p>
            <w:r>
              <w:t>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tcW w:w="1866" w:type="dxa"/>
            <w:vAlign w:val="center"/>
          </w:tcPr>
          <w:p>
            <w:r>
              <w:t>1700.6</w:t>
            </w:r>
          </w:p>
        </w:tc>
        <w:tc>
          <w:tcPr>
            <w:tcW w:w="1866" w:type="dxa"/>
            <w:vAlign w:val="center"/>
          </w:tcPr>
          <w:p>
            <w:r>
              <w:t>1158.0</w:t>
            </w:r>
          </w:p>
        </w:tc>
        <w:tc>
          <w:tcPr>
            <w:tcW w:w="1866" w:type="dxa"/>
            <w:vAlign w:val="center"/>
          </w:tcPr>
          <w:p>
            <w:r>
              <w:t>1700.6</w:t>
            </w:r>
          </w:p>
        </w:tc>
        <w:tc>
          <w:tcPr>
            <w:tcW w:w="1866" w:type="dxa"/>
            <w:vAlign w:val="center"/>
          </w:tcPr>
          <w:p>
            <w:r>
              <w:t>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《城市居住区热环境设计标准》4.4.2条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建筑屋面的绿化面积不应低于可绿化屋面面积的50%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6" w:type="dxa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47" w:name="屋面绿化率"/>
      <w:bookmarkEnd w:id="47"/>
    </w:p>
    <w:p>
      <w:pPr>
        <w:pStyle w:val="2"/>
      </w:pPr>
      <w:bookmarkStart w:id="48" w:name="_Toc154697744"/>
      <w:r>
        <w:rPr>
          <w:rFonts w:hint="eastAsia"/>
        </w:rPr>
        <w:t>结论</w:t>
      </w:r>
      <w:bookmarkEnd w:id="48"/>
    </w:p>
    <w:tbl>
      <w:tblPr>
        <w:tblStyle w:val="20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2800"/>
        <w:gridCol w:w="1866"/>
        <w:gridCol w:w="28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shd w:val="clear" w:color="auto" w:fill="E6E6E6"/>
            <w:vAlign w:val="center"/>
          </w:tcPr>
          <w:p>
            <w:pPr>
              <w:jc w:val="center"/>
            </w:pPr>
            <w:bookmarkStart w:id="49" w:name="结论"/>
            <w:bookmarkEnd w:id="49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0" w:name="平均迎风面积比结论"/>
            <w:r>
              <w:rPr>
                <w:rFonts w:hint="eastAsia"/>
                <w:b/>
              </w:rPr>
              <w:t>满足</w:t>
            </w:r>
            <w:bookmarkEnd w:id="50"/>
          </w:p>
        </w:tc>
        <w:tc>
          <w:tcPr>
            <w:tcW w:w="2800" w:type="dxa"/>
            <w:vMerge w:val="restart"/>
            <w:vAlign w:val="center"/>
          </w:tcPr>
          <w:p>
            <w:r>
              <w:rPr>
                <w:b/>
              </w:rPr>
              <w:t>强制条文，必须满足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>
            <w:pPr>
              <w:rPr>
                <w:b/>
              </w:rPr>
            </w:pPr>
            <w:bookmarkStart w:id="51" w:name="活动场地遮阳覆盖率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restart"/>
            <w:shd w:val="clear" w:color="auto" w:fill="E6E6E6"/>
            <w:vAlign w:val="center"/>
          </w:tcPr>
          <w:p>
            <w:r>
              <w:t>规定性设计</w:t>
            </w:r>
          </w:p>
        </w:tc>
        <w:tc>
          <w:tcPr>
            <w:tcW w:w="2800" w:type="dxa"/>
            <w:vAlign w:val="center"/>
          </w:tcPr>
          <w:p>
            <w:r>
              <w:t>底层通风架空率</w:t>
            </w:r>
          </w:p>
        </w:tc>
        <w:tc>
          <w:tcPr>
            <w:tcW w:w="1866" w:type="dxa"/>
            <w:vAlign w:val="center"/>
          </w:tcPr>
          <w:p>
            <w:bookmarkStart w:id="52" w:name="底层通风架空率结论"/>
            <w:r>
              <w:t>满足</w:t>
            </w:r>
            <w:bookmarkEnd w:id="52"/>
          </w:p>
        </w:tc>
        <w:tc>
          <w:tcPr>
            <w:tcW w:w="2800" w:type="dxa"/>
            <w:vMerge w:val="restart"/>
            <w:vAlign w:val="center"/>
          </w:tcPr>
          <w:p>
            <w:r>
              <w:t>不满足任意一条时，进行评价性设计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>
            <w:bookmarkStart w:id="53" w:name="绿化遮阳体叶面积指数结论"/>
            <w:r>
              <w:t>满足</w:t>
            </w:r>
            <w:bookmarkEnd w:id="53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渗透蒸发指标</w:t>
            </w:r>
          </w:p>
        </w:tc>
        <w:tc>
          <w:tcPr>
            <w:tcW w:w="1866" w:type="dxa"/>
            <w:vAlign w:val="center"/>
          </w:tcPr>
          <w:p>
            <w:bookmarkStart w:id="54" w:name="渗透蒸发指标结论"/>
            <w:r>
              <w:t>满足</w:t>
            </w:r>
            <w:bookmarkEnd w:id="54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7" w:type="dxa"/>
            <w:vMerge w:val="continue"/>
            <w:shd w:val="clear" w:color="auto" w:fill="E6E6E6"/>
            <w:vAlign w:val="center"/>
          </w:tcPr>
          <w:p/>
        </w:tc>
        <w:tc>
          <w:tcPr>
            <w:tcW w:w="2800" w:type="dxa"/>
            <w:vAlign w:val="center"/>
          </w:tcPr>
          <w:p>
            <w:r>
              <w:t>屋面绿化率</w:t>
            </w:r>
          </w:p>
        </w:tc>
        <w:tc>
          <w:tcPr>
            <w:tcW w:w="1866" w:type="dxa"/>
            <w:vAlign w:val="center"/>
          </w:tcPr>
          <w:p>
            <w:bookmarkStart w:id="55" w:name="屋面绿化率结论"/>
            <w:r>
              <w:t>满足</w:t>
            </w:r>
            <w:bookmarkEnd w:id="55"/>
          </w:p>
        </w:tc>
        <w:tc>
          <w:tcPr>
            <w:tcW w:w="2800" w:type="dxa"/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7" w:type="dxa"/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>
            <w:pPr>
              <w:rPr>
                <w:b/>
              </w:rPr>
            </w:pPr>
            <w:bookmarkStart w:id="56" w:name="总结论"/>
            <w:r>
              <w:rPr>
                <w:rFonts w:hint="eastAsia"/>
                <w:b/>
              </w:rPr>
              <w:t>满足</w:t>
            </w:r>
            <w:bookmarkEnd w:id="56"/>
          </w:p>
        </w:tc>
      </w:tr>
    </w:tbl>
    <w:p>
      <w:pPr>
        <w:pStyle w:val="3"/>
        <w:ind w:firstLine="420"/>
        <w:rPr>
          <w:lang w:val="en-US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separate"/>
    </w:r>
    <w:r>
      <w:rPr>
        <w:rStyle w:val="24"/>
      </w:rPr>
      <w:t>1</w:t>
    </w:r>
    <w:r>
      <w:rPr>
        <w:rStyle w:val="24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4"/>
      </w:rPr>
    </w:pPr>
    <w:r>
      <w:rPr>
        <w:rStyle w:val="24"/>
      </w:rPr>
      <w:fldChar w:fldCharType="begin"/>
    </w:r>
    <w:r>
      <w:rPr>
        <w:rStyle w:val="24"/>
      </w:rPr>
      <w:instrText xml:space="preserve">PAGE  </w:instrText>
    </w:r>
    <w:r>
      <w:rPr>
        <w:rStyle w:val="24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OTVhYzIwYTU2Y2E5YjAwMjZkNWFhMGUxYWRiM2EifQ=="/>
  </w:docVars>
  <w:rsids>
    <w:rsidRoot w:val="006621DC"/>
    <w:rsid w:val="0000545C"/>
    <w:rsid w:val="0001409C"/>
    <w:rsid w:val="00026B3F"/>
    <w:rsid w:val="00037A4C"/>
    <w:rsid w:val="00051EA5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F7D7C"/>
    <w:rsid w:val="00613298"/>
    <w:rsid w:val="00651069"/>
    <w:rsid w:val="00651FEA"/>
    <w:rsid w:val="00657ADD"/>
    <w:rsid w:val="006621DC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244C9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7694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2">
    <w:name w:val="Default Paragraph Font"/>
    <w:autoRedefine/>
    <w:semiHidden/>
    <w:unhideWhenUsed/>
    <w:qFormat/>
    <w:uiPriority w:val="1"/>
  </w:style>
  <w:style w:type="table" w:default="1" w:styleId="2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18">
    <w:name w:val="Normal (Web)"/>
    <w:basedOn w:val="1"/>
    <w:autoRedefine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19">
    <w:name w:val="Title"/>
    <w:basedOn w:val="1"/>
    <w:next w:val="1"/>
    <w:link w:val="2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b/>
      <w:bCs/>
    </w:rPr>
  </w:style>
  <w:style w:type="character" w:styleId="24">
    <w:name w:val="page number"/>
    <w:basedOn w:val="22"/>
    <w:autoRedefine/>
    <w:qFormat/>
    <w:uiPriority w:val="0"/>
  </w:style>
  <w:style w:type="character" w:styleId="25">
    <w:name w:val="Hyperlink"/>
    <w:autoRedefine/>
    <w:qFormat/>
    <w:uiPriority w:val="99"/>
    <w:rPr>
      <w:color w:val="0000FF"/>
      <w:u w:val="single"/>
    </w:rPr>
  </w:style>
  <w:style w:type="character" w:customStyle="1" w:styleId="26">
    <w:name w:val="标题 字符"/>
    <w:basedOn w:val="22"/>
    <w:link w:val="19"/>
    <w:autoRedefine/>
    <w:uiPriority w:val="0"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1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Company>ths</Company>
  <Pages>10</Pages>
  <Words>851</Words>
  <Characters>4852</Characters>
  <Lines>40</Lines>
  <Paragraphs>11</Paragraphs>
  <TotalTime>0</TotalTime>
  <ScaleCrop>false</ScaleCrop>
  <LinksUpToDate>false</LinksUpToDate>
  <CharactersWithSpaces>5692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2023-12-28T15:15:00Z</dcterms:created>
  <dc:creator>PC</dc:creator>
  <cp:lastModifiedBy>神马良</cp:lastModifiedBy>
  <cp:lastPrinted>2411-12-31T16:00:00Z</cp:lastPrinted>
  <dcterms:modified xsi:type="dcterms:W3CDTF">2024-01-10T06:38:47Z</dcterms:modified>
  <dc:title>住区热环境规定性设计计算书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684830C1870E45DEA77601756BD289FE_12</vt:lpwstr>
  </property>
</Properties>
</file>