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pPr>
              <w:pStyle w:val="17"/>
              <w:tabs>
                <w:tab w:val="clear" w:pos="4153"/>
                <w:tab w:val="clear" w:pos="8306"/>
              </w:tabs>
              <w:snapToGrid/>
              <w:jc w:val="both"/>
              <w:rPr>
                <w:rFonts w:ascii="宋体" w:hAnsi="宋体"/>
                <w:szCs w:val="21"/>
              </w:rPr>
            </w:pPr>
            <w:r>
              <w:rPr>
                <w:rFonts w:hint="eastAsia" w:ascii="宋体" w:hAnsi="宋体" w:eastAsia="宋体" w:cs="宋体"/>
                <w:sz w:val="24"/>
                <w:szCs w:val="24"/>
              </w:rPr>
              <w:t>木苏·居春——龙胜干栏式民居绿色、低碳、宜居改造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t>桂林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bookmarkStart w:id="1" w:name="设计编号"/>
            <w:bookmarkEnd w:id="1"/>
            <w:r>
              <w:rPr>
                <w:rFonts w:ascii="宋体" w:hAnsi="宋体" w:eastAsia="宋体" w:cs="宋体"/>
                <w:sz w:val="24"/>
                <w:szCs w:val="24"/>
              </w:rPr>
              <w:t>YB</w:t>
            </w:r>
            <w:r>
              <w:rPr>
                <w:rFonts w:hint="eastAsia" w:ascii="宋体" w:hAnsi="宋体" w:eastAsia="宋体" w:cs="宋体"/>
                <w:sz w:val="24"/>
                <w:szCs w:val="24"/>
                <w:lang w:val="en-US" w:eastAsia="zh-CN"/>
              </w:rPr>
              <w:t>1</w:t>
            </w:r>
            <w:r>
              <w:rPr>
                <w:rFonts w:ascii="宋体" w:hAnsi="宋体" w:eastAsia="宋体" w:cs="宋体"/>
                <w:sz w:val="24"/>
                <w:szCs w:val="24"/>
              </w:rPr>
              <w:t>A</w:t>
            </w:r>
            <w:r>
              <w:rPr>
                <w:rFonts w:hint="eastAsia" w:ascii="宋体" w:hAnsi="宋体" w:eastAsia="宋体" w:cs="宋体"/>
                <w:sz w:val="24"/>
                <w:szCs w:val="24"/>
                <w:lang w:val="en-US" w:eastAsia="zh-CN"/>
              </w:rPr>
              <w:t>60015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szCs w:val="21"/>
              </w:rPr>
            </w:pPr>
            <w:bookmarkStart w:id="2" w:name="建设单位"/>
            <w:bookmarkEnd w:id="2"/>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szCs w:val="21"/>
              </w:rPr>
            </w:pPr>
            <w:bookmarkStart w:id="3" w:name="设计单位"/>
            <w:bookmarkEnd w:id="3"/>
            <w:r>
              <w:rPr>
                <w:rFonts w:ascii="宋体" w:hAnsi="宋体" w:eastAsia="宋体" w:cs="宋体"/>
                <w:sz w:val="24"/>
                <w:szCs w:val="24"/>
              </w:rPr>
              <w:t>桂林电子科技大学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2024年01月09日</w:t>
            </w:r>
            <w:bookmarkEnd w:id="4"/>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6" w:name="软件版本"/>
            <w:r>
              <w:rPr>
                <w:rFonts w:ascii="宋体" w:hAnsi="宋体"/>
                <w:szCs w:val="21"/>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7" w:name="加密锁号"/>
            <w:r>
              <w:t>T18589831798</w:t>
            </w:r>
            <w:bookmarkEnd w:id="7"/>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"_Toc155709229"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_Toc155709229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"_Toc155709230"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_Toc155709230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"_Toc155709231"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_Toc155709231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"_Toc155709232"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_Toc155709232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"_Toc155709233"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_Toc155709233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"_Toc155709234"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_Toc155709234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"_Toc155709235"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_Toc155709235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"_Toc155709236"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_Toc155709236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"_Toc155709237"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_Toc155709237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"_Toc155709238"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_Toc155709238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"_Toc155709239"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_Toc155709239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"_Toc155709240"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_Toc155709240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"_Toc155709241"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_Toc155709241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"_Toc155709242"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_Toc155709242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"_Toc155709243"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_Toc155709243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"_Toc155709244"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1层-户1-E分析图</w:t>
      </w:r>
      <w:r>
        <w:tab/>
      </w:r>
      <w:r>
        <w:fldChar w:fldCharType="begin"/>
      </w:r>
      <w:r>
        <w:instrText xml:space="preserve"> PAGEREF _Toc155709244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"_Toc155709245"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_Toc155709245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"_Toc155709246"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_Toc155709246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8"/>
    </w:p>
    <w:p>
      <w:pPr>
        <w:pStyle w:val="2"/>
      </w:pPr>
      <w:bookmarkStart w:id="9" w:name="_Toc452108759"/>
      <w:bookmarkStart w:id="10" w:name="_Toc155709229"/>
      <w:r>
        <w:rPr>
          <w:rFonts w:hint="eastAsia"/>
        </w:rPr>
        <w:t>项目概况</w:t>
      </w:r>
      <w:bookmarkEnd w:id="9"/>
      <w:bookmarkEnd w:id="10"/>
    </w:p>
    <w:p>
      <w:pPr>
        <w:pStyle w:val="3"/>
        <w:ind w:firstLine="420"/>
        <w:rPr>
          <w:lang w:val="en-US"/>
        </w:rPr>
      </w:pPr>
      <w:bookmarkStart w:id="11" w:name="项目概况"/>
      <w:bookmarkEnd w:id="11"/>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452108760"/>
      <w:bookmarkStart w:id="13" w:name="_Toc155709230"/>
      <w:bookmarkStart w:id="14" w:name="平面图2"/>
      <w:r>
        <w:t>平面图</w:t>
      </w:r>
      <w:bookmarkEnd w:id="12"/>
      <w:bookmarkEnd w:id="13"/>
    </w:p>
    <w:p>
      <w:pPr>
        <w:pStyle w:val="3"/>
        <w:ind w:firstLine="0" w:firstLineChars="0"/>
        <w:jc w:val="center"/>
        <w:rPr>
          <w:lang w:val="en-US"/>
        </w:rPr>
      </w:pPr>
      <w:bookmarkStart w:id="15" w:name="平面图"/>
      <w:bookmarkEnd w:id="15"/>
      <w:r>
        <w:drawing>
          <wp:inline distT="0" distB="0" distL="0" distR="0">
            <wp:extent cx="5667375" cy="47053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47053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4857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485775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4905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490537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4"/>
    <w:p>
      <w:pPr>
        <w:pStyle w:val="3"/>
        <w:ind w:firstLine="0" w:firstLineChars="0"/>
        <w:jc w:val="center"/>
        <w:rPr>
          <w:lang w:val="en-US"/>
        </w:rPr>
      </w:pPr>
    </w:p>
    <w:p>
      <w:pPr>
        <w:pStyle w:val="4"/>
      </w:pPr>
      <w:bookmarkStart w:id="16" w:name="_Toc452108761"/>
      <w:bookmarkStart w:id="17" w:name="_Toc155709231"/>
      <w:r>
        <w:rPr>
          <w:rFonts w:hint="eastAsia"/>
        </w:rPr>
        <w:t>三</w:t>
      </w:r>
      <w:r>
        <w:t>维视图</w:t>
      </w:r>
      <w:bookmarkEnd w:id="16"/>
      <w:bookmarkEnd w:id="17"/>
    </w:p>
    <w:p>
      <w:pPr>
        <w:pStyle w:val="3"/>
        <w:ind w:firstLine="0" w:firstLineChars="0"/>
        <w:jc w:val="center"/>
        <w:rPr>
          <w:lang w:val="en-US"/>
        </w:rPr>
      </w:pPr>
      <w:bookmarkStart w:id="18" w:name="三维视图"/>
      <w:bookmarkStart w:id="19" w:name="模型观察"/>
      <w:r>
        <w:t>请先在【模型观察】命令中保存图片</w:t>
      </w:r>
      <w:bookmarkEnd w:id="18"/>
      <w:bookmarkEnd w:id="19"/>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452108762"/>
      <w:bookmarkStart w:id="21" w:name="TitleFormat"/>
      <w:bookmarkStart w:id="22" w:name="_Toc155709232"/>
      <w:r>
        <w:rPr>
          <w:rFonts w:hint="eastAsia"/>
        </w:rPr>
        <w:t>计算</w:t>
      </w:r>
      <w:r>
        <w:t>依据</w:t>
      </w:r>
      <w:bookmarkEnd w:id="20"/>
      <w:bookmarkEnd w:id="21"/>
      <w:bookmarkEnd w:id="22"/>
    </w:p>
    <w:p>
      <w:pPr>
        <w:pStyle w:val="3"/>
        <w:ind w:firstLine="199" w:firstLineChars="95"/>
        <w:rPr>
          <w:lang w:val="en-US"/>
        </w:rPr>
      </w:pPr>
      <w:bookmarkStart w:id="23" w:name="_Toc452108763"/>
      <w:r>
        <w:rPr>
          <w:rFonts w:hint="eastAsia"/>
          <w:lang w:val="en-US"/>
        </w:rPr>
        <w:t>本项目主要参照资料为：</w:t>
      </w:r>
    </w:p>
    <w:p>
      <w:pPr>
        <w:pStyle w:val="3"/>
        <w:numPr>
          <w:ilvl w:val="0"/>
          <w:numId w:val="2"/>
        </w:numPr>
        <w:ind w:left="0" w:firstLine="200" w:firstLineChars="0"/>
        <w:rPr>
          <w:lang w:val="en-US"/>
        </w:rPr>
      </w:pPr>
      <w:bookmarkStart w:id="24" w:name="参考标准名称1"/>
      <w:r>
        <w:rPr>
          <w:rFonts w:hint="eastAsia"/>
          <w:lang w:val="en-US"/>
        </w:rPr>
        <w:t>《绿色建筑评价标准》GB/T50378-2019</w:t>
      </w:r>
      <w:bookmarkEnd w:id="2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5"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7" w:name="_Toc155709233"/>
      <w:r>
        <w:rPr>
          <w:rFonts w:hint="eastAsia"/>
        </w:rPr>
        <w:t>参考</w:t>
      </w:r>
      <w:r>
        <w:t>标准</w:t>
      </w:r>
      <w:bookmarkEnd w:id="23"/>
      <w:bookmarkEnd w:id="27"/>
    </w:p>
    <w:p>
      <w:pPr>
        <w:pStyle w:val="3"/>
        <w:ind w:firstLine="420"/>
        <w:rPr>
          <w:lang w:val="en-US"/>
        </w:rPr>
      </w:pPr>
      <w:bookmarkStart w:id="28" w:name="_Toc452108764"/>
      <w:bookmarkStart w:id="29" w:name="_Toc451698935"/>
      <w:r>
        <w:rPr>
          <w:rFonts w:hint="eastAsia"/>
          <w:lang w:val="en-US"/>
        </w:rPr>
        <w:t>室内热湿环境评价的主要依据为</w:t>
      </w:r>
      <w:bookmarkStart w:id="30" w:name="参考标准名称2"/>
      <w:r>
        <w:rPr>
          <w:rFonts w:hint="eastAsia"/>
          <w:lang w:val="en-US"/>
        </w:rPr>
        <w:t>《绿色建筑评价标准》GB/T50378-2019</w:t>
      </w:r>
      <w:bookmarkEnd w:id="30"/>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1" w:name="_Toc155709234"/>
      <w:r>
        <w:rPr>
          <w:rFonts w:hint="eastAsia"/>
        </w:rPr>
        <w:t>计算</w:t>
      </w:r>
      <w:bookmarkEnd w:id="28"/>
      <w:bookmarkEnd w:id="29"/>
      <w:r>
        <w:rPr>
          <w:rFonts w:hint="eastAsia"/>
        </w:rPr>
        <w:t>方法</w:t>
      </w:r>
      <w:bookmarkEnd w:id="31"/>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2" w:name="_Toc155709235"/>
      <w:r>
        <w:t>CFD</w:t>
      </w:r>
      <w:r>
        <w:rPr>
          <w:rFonts w:hint="eastAsia"/>
        </w:rPr>
        <w:t>计算原理</w:t>
      </w:r>
      <w:bookmarkEnd w:id="32"/>
    </w:p>
    <w:p>
      <w:pPr>
        <w:pStyle w:val="5"/>
      </w:pPr>
      <w:bookmarkStart w:id="33" w:name="_Toc155709236"/>
      <w:r>
        <w:rPr>
          <w:rFonts w:hint="eastAsia"/>
        </w:rPr>
        <w:t>湍流模型</w:t>
      </w:r>
      <w:bookmarkEnd w:id="3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4" w:name="_Toc155709237"/>
      <w:bookmarkStart w:id="35" w:name="_Toc8151"/>
      <w:bookmarkStart w:id="36" w:name="_Toc452108766"/>
      <w:bookmarkStart w:id="37" w:name="_Toc451698938"/>
      <w:r>
        <w:rPr>
          <w:rFonts w:hint="eastAsia"/>
        </w:rPr>
        <w:t>边界条件</w:t>
      </w:r>
      <w:bookmarkEnd w:id="34"/>
      <w:bookmarkEnd w:id="35"/>
      <w:bookmarkEnd w:id="36"/>
      <w:bookmarkEnd w:id="37"/>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8" w:name="_Toc451698939"/>
      <w:bookmarkStart w:id="39" w:name="_Toc452108767"/>
      <w:bookmarkStart w:id="40" w:name="_Toc23583"/>
      <w:bookmarkStart w:id="41" w:name="_Toc155709238"/>
      <w:r>
        <w:rPr>
          <w:rFonts w:hint="eastAsia"/>
        </w:rPr>
        <w:t>求解计算</w:t>
      </w:r>
      <w:bookmarkEnd w:id="38"/>
      <w:bookmarkEnd w:id="39"/>
      <w:bookmarkEnd w:id="40"/>
      <w:bookmarkEnd w:id="4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2"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2"/>
      <w:r>
        <w:rPr>
          <w:rFonts w:hint="eastAsia" w:ascii="微软雅黑" w:hAnsi="微软雅黑" w:eastAsia="微软雅黑"/>
          <w:b/>
        </w:rPr>
        <w:t xml:space="preserve"> </w:t>
      </w:r>
      <w:bookmarkStart w:id="43" w:name="_Ref225175618"/>
      <w:r>
        <w:rPr>
          <w:rFonts w:hint="eastAsia" w:ascii="微软雅黑" w:hAnsi="微软雅黑" w:eastAsia="微软雅黑"/>
          <w:b/>
        </w:rPr>
        <w:t>计算流体力学的控制方程</w:t>
      </w:r>
      <w:bookmarkEnd w:id="43"/>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4" w:name="_Toc155709239"/>
      <w:r>
        <w:rPr>
          <w:rFonts w:hint="eastAsia"/>
        </w:rPr>
        <w:t>热湿环境评价</w:t>
      </w:r>
      <w:r>
        <w:t>指标</w:t>
      </w:r>
      <w:r>
        <w:rPr>
          <w:rFonts w:hint="eastAsia"/>
        </w:rPr>
        <w:t>计算</w:t>
      </w:r>
      <w:bookmarkEnd w:id="44"/>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lang w:val="en-US"/>
        </w:rPr>
        <w:t>本项目采用《民用建筑室内热湿环境评价标准》GB/T 50785-2012中所示的计算程序完成上述PMV的计算。</w:t>
      </w:r>
    </w:p>
    <w:p>
      <w:pPr>
        <w:pStyle w:val="5"/>
      </w:pPr>
      <w:bookmarkStart w:id="46" w:name="_Toc155709240"/>
      <w:r>
        <w:t>PMV</w:t>
      </w:r>
      <w:r>
        <w:rPr>
          <w:rFonts w:hint="eastAsia"/>
        </w:rPr>
        <w:t>计算公式</w:t>
      </w:r>
      <w:bookmarkEnd w:id="46"/>
    </w:p>
    <w:bookmarkEnd w:id="45"/>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10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7" w:name="_Toc155709241"/>
      <w:r>
        <w:t>PPD</w:t>
      </w:r>
      <w:r>
        <w:rPr>
          <w:rFonts w:hint="eastAsia"/>
        </w:rPr>
        <w:t>计算公式</w:t>
      </w:r>
      <w:bookmarkEnd w:id="47"/>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8" w:name="_Toc155709242"/>
      <w:r>
        <w:rPr>
          <w:rFonts w:hint="eastAsia"/>
        </w:rPr>
        <w:t>PMV和PPD达标比例计算</w:t>
      </w:r>
      <w:bookmarkEnd w:id="48"/>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49" w:name="_Toc452108768"/>
      <w:bookmarkStart w:id="50" w:name="_Toc155709243"/>
      <w:bookmarkStart w:id="51" w:name="_Toc3745"/>
      <w:r>
        <w:rPr>
          <w:rFonts w:hint="eastAsia"/>
        </w:rPr>
        <w:t>结果</w:t>
      </w:r>
      <w:r>
        <w:t>分析</w:t>
      </w:r>
      <w:bookmarkEnd w:id="49"/>
      <w:bookmarkEnd w:id="50"/>
      <w:bookmarkEnd w:id="51"/>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2"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1层-户1-E</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2"/>
    </w:tbl>
    <w:p>
      <w:pPr>
        <w:pStyle w:val="3"/>
        <w:ind w:firstLine="0" w:firstLineChars="0"/>
      </w:pPr>
    </w:p>
    <w:p>
      <w:pPr>
        <w:pStyle w:val="4"/>
      </w:pPr>
      <w:bookmarkStart w:id="53" w:name="_Toc155709244"/>
      <w:bookmarkStart w:id="54" w:name="分析对象名称"/>
      <w:r>
        <w:t>1层-户1-E分析图</w:t>
      </w:r>
      <w:bookmarkEnd w:id="53"/>
      <w:bookmarkEnd w:id="54"/>
      <w:bookmarkStart w:id="55" w:name="_Toc452108765"/>
      <w:bookmarkStart w:id="56" w:name="_Toc451436145"/>
      <w:bookmarkStart w:id="57" w:name="_Toc451698937"/>
    </w:p>
    <w:p>
      <w:pPr>
        <w:pStyle w:val="3"/>
        <w:ind w:firstLine="420"/>
        <w:jc w:val="center"/>
        <w:rPr>
          <w:lang w:val="en-US"/>
        </w:rPr>
      </w:pPr>
      <w:bookmarkStart w:id="58" w:name="温度场分布"/>
      <w:bookmarkEnd w:id="58"/>
      <w:r>
        <w:drawing>
          <wp:inline distT="0" distB="0" distL="0" distR="0">
            <wp:extent cx="5667375" cy="3752850"/>
            <wp:effectExtent l="0" t="0" r="0" b="0"/>
            <wp:docPr id="1849155736" name="图片 184915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55736" name="图片 1849155736"/>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9" w:name="速度云图"/>
      <w:bookmarkEnd w:id="59"/>
      <w:r>
        <w:drawing>
          <wp:inline distT="0" distB="0" distL="0" distR="0">
            <wp:extent cx="5667375" cy="3752850"/>
            <wp:effectExtent l="0" t="0" r="0" b="0"/>
            <wp:docPr id="1503667389" name="图片 15036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7389" name="图片 1503667389"/>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0" w:name="PMV分布"/>
      <w:bookmarkEnd w:id="60"/>
      <w:r>
        <w:drawing>
          <wp:inline distT="0" distB="0" distL="0" distR="0">
            <wp:extent cx="5667375" cy="3752850"/>
            <wp:effectExtent l="0" t="0" r="0" b="0"/>
            <wp:docPr id="1070130386" name="图片 107013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30386" name="图片 1070130386"/>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5"/>
    <w:bookmarkEnd w:id="56"/>
    <w:bookmarkEnd w:id="57"/>
    <w:p>
      <w:pPr>
        <w:pStyle w:val="3"/>
        <w:ind w:firstLine="420"/>
        <w:jc w:val="center"/>
        <w:rPr>
          <w:lang w:val="en-US"/>
        </w:rPr>
      </w:pPr>
      <w:bookmarkStart w:id="61" w:name="PPD分布"/>
      <w:bookmarkEnd w:id="61"/>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2" w:name="LPD1分布"/>
      <w:bookmarkEnd w:id="62"/>
    </w:p>
    <w:p>
      <w:pPr>
        <w:pStyle w:val="3"/>
        <w:ind w:firstLine="420"/>
        <w:jc w:val="center"/>
      </w:pPr>
    </w:p>
    <w:p>
      <w:pPr>
        <w:pStyle w:val="3"/>
        <w:ind w:firstLine="0" w:firstLineChars="0"/>
        <w:rPr>
          <w:lang w:val="en-US"/>
        </w:rPr>
      </w:pPr>
      <w:bookmarkStart w:id="63" w:name="结果分析"/>
      <w:bookmarkEnd w:id="63"/>
    </w:p>
    <w:p>
      <w:pPr>
        <w:pStyle w:val="4"/>
      </w:pPr>
      <w:bookmarkStart w:id="64" w:name="_Toc155709245"/>
      <w:r>
        <w:rPr>
          <w:rFonts w:hint="eastAsia"/>
        </w:rPr>
        <w:t>室内PMV与PPD达标比例统计</w:t>
      </w:r>
      <w:bookmarkEnd w:id="64"/>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restart"/>
            <w:vAlign w:val="center"/>
          </w:tcPr>
          <w:p>
            <w:r>
              <w:t>1</w:t>
            </w:r>
          </w:p>
        </w:tc>
        <w:tc>
          <w:tcPr>
            <w:tcW w:w="973" w:type="dxa"/>
            <w:vMerge w:val="restart"/>
            <w:vAlign w:val="center"/>
          </w:tcPr>
          <w:p>
            <w:r>
              <w:t>1-E</w:t>
            </w:r>
          </w:p>
        </w:tc>
        <w:tc>
          <w:tcPr>
            <w:tcW w:w="1103" w:type="dxa"/>
            <w:vAlign w:val="center"/>
          </w:tcPr>
          <w:p>
            <w:r>
              <w:t>1001</w:t>
            </w:r>
          </w:p>
        </w:tc>
        <w:tc>
          <w:tcPr>
            <w:tcW w:w="2620" w:type="dxa"/>
            <w:vAlign w:val="center"/>
          </w:tcPr>
          <w:p>
            <w:r>
              <w:t>过厅</w:t>
            </w:r>
          </w:p>
        </w:tc>
        <w:tc>
          <w:tcPr>
            <w:tcW w:w="1386" w:type="dxa"/>
            <w:vAlign w:val="center"/>
          </w:tcPr>
          <w:p>
            <w:r>
              <w:t>69.8</w:t>
            </w:r>
          </w:p>
        </w:tc>
        <w:tc>
          <w:tcPr>
            <w:tcW w:w="1109" w:type="dxa"/>
            <w:vAlign w:val="center"/>
          </w:tcPr>
          <w:p>
            <w:r>
              <w:t>69.8</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1002</w:t>
            </w:r>
          </w:p>
        </w:tc>
        <w:tc>
          <w:tcPr>
            <w:tcW w:w="2620" w:type="dxa"/>
            <w:vAlign w:val="center"/>
          </w:tcPr>
          <w:p>
            <w:r>
              <w:t>主卧室</w:t>
            </w:r>
          </w:p>
        </w:tc>
        <w:tc>
          <w:tcPr>
            <w:tcW w:w="1386" w:type="dxa"/>
            <w:vAlign w:val="center"/>
          </w:tcPr>
          <w:p>
            <w:r>
              <w:t>29.5</w:t>
            </w:r>
          </w:p>
        </w:tc>
        <w:tc>
          <w:tcPr>
            <w:tcW w:w="1109" w:type="dxa"/>
            <w:vAlign w:val="center"/>
          </w:tcPr>
          <w:p>
            <w:r>
              <w:t>29.5</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1004</w:t>
            </w:r>
          </w:p>
        </w:tc>
        <w:tc>
          <w:tcPr>
            <w:tcW w:w="2620" w:type="dxa"/>
            <w:vAlign w:val="center"/>
          </w:tcPr>
          <w:p>
            <w:r>
              <w:t>次卧室</w:t>
            </w:r>
          </w:p>
        </w:tc>
        <w:tc>
          <w:tcPr>
            <w:tcW w:w="1386" w:type="dxa"/>
            <w:vAlign w:val="center"/>
          </w:tcPr>
          <w:p>
            <w:r>
              <w:t>12.3</w:t>
            </w:r>
          </w:p>
        </w:tc>
        <w:tc>
          <w:tcPr>
            <w:tcW w:w="1109" w:type="dxa"/>
            <w:vAlign w:val="center"/>
          </w:tcPr>
          <w:p>
            <w:r>
              <w:t>12.3</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Merge w:val="continue"/>
            <w:vAlign w:val="center"/>
          </w:tcPr>
          <w:p/>
        </w:tc>
        <w:tc>
          <w:tcPr>
            <w:tcW w:w="973" w:type="dxa"/>
            <w:vMerge w:val="continue"/>
            <w:vAlign w:val="center"/>
          </w:tcPr>
          <w:p/>
        </w:tc>
        <w:tc>
          <w:tcPr>
            <w:tcW w:w="1103" w:type="dxa"/>
            <w:vAlign w:val="center"/>
          </w:tcPr>
          <w:p>
            <w:r>
              <w:t>1008</w:t>
            </w:r>
          </w:p>
        </w:tc>
        <w:tc>
          <w:tcPr>
            <w:tcW w:w="2620" w:type="dxa"/>
            <w:vAlign w:val="center"/>
          </w:tcPr>
          <w:p>
            <w:r>
              <w:t>空房间</w:t>
            </w:r>
          </w:p>
        </w:tc>
        <w:tc>
          <w:tcPr>
            <w:tcW w:w="1386" w:type="dxa"/>
            <w:vAlign w:val="center"/>
          </w:tcPr>
          <w:p>
            <w:r>
              <w:t>4.7</w:t>
            </w:r>
          </w:p>
        </w:tc>
        <w:tc>
          <w:tcPr>
            <w:tcW w:w="1109" w:type="dxa"/>
            <w:vAlign w:val="center"/>
          </w:tcPr>
          <w:p>
            <w:r>
              <w:t>4.7</w:t>
            </w:r>
          </w:p>
        </w:tc>
        <w:tc>
          <w:tcPr>
            <w:tcW w:w="1658" w:type="dxa"/>
            <w:vAlign w:val="center"/>
          </w:tcPr>
          <w:p>
            <w:r>
              <w:t>100.00</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65" w:name="统计计算表表头"/>
      <w:bookmarkEnd w:id="65"/>
    </w:p>
    <w:p>
      <w:pPr>
        <w:spacing w:after="120"/>
        <w:rPr>
          <w:rFonts w:ascii="宋体" w:hAnsi="宋体" w:cs="宋体"/>
          <w:b/>
          <w:bCs/>
          <w:color w:val="333333"/>
          <w:sz w:val="24"/>
          <w:szCs w:val="22"/>
          <w:lang w:val="en-US"/>
        </w:rPr>
      </w:pPr>
      <w:bookmarkStart w:id="66" w:name="达标统计表"/>
      <w:bookmarkEnd w:id="66"/>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7" w:name="_Toc155709246"/>
      <w:r>
        <w:rPr>
          <w:rFonts w:hint="eastAsia"/>
        </w:rPr>
        <w:t>结论</w:t>
      </w:r>
      <w:bookmarkEnd w:id="67"/>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5OTVhYzIwYTU2Y2E5YjAwMjZkNWFhMGUxYWRiM2EifQ=="/>
  </w:docVars>
  <w:rsids>
    <w:rsidRoot w:val="00E90CC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1F07D7"/>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47DA"/>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CCC"/>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662A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autoRedefine/>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autoRedefine/>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autoRedefine/>
    <w:qFormat/>
    <w:uiPriority w:val="0"/>
    <w:rPr>
      <w:rFonts w:ascii="宋体" w:hAnsi="宋体" w:cs="Arial"/>
      <w:b/>
      <w:bCs/>
      <w:sz w:val="21"/>
      <w:szCs w:val="21"/>
    </w:rPr>
  </w:style>
  <w:style w:type="character" w:customStyle="1" w:styleId="34">
    <w:name w:val="批注框文本 字符"/>
    <w:link w:val="16"/>
    <w:autoRedefine/>
    <w:uiPriority w:val="0"/>
    <w:rPr>
      <w:sz w:val="18"/>
      <w:szCs w:val="18"/>
      <w:lang w:val="en-GB"/>
    </w:rPr>
  </w:style>
  <w:style w:type="character" w:styleId="35">
    <w:name w:val="Placeholder Text"/>
    <w:autoRedefine/>
    <w:semiHidden/>
    <w:qFormat/>
    <w:uiPriority w:val="99"/>
    <w:rPr>
      <w:color w:val="808080"/>
    </w:rPr>
  </w:style>
  <w:style w:type="paragraph" w:styleId="36">
    <w:name w:val="No Spacing"/>
    <w:autoRedefine/>
    <w:qFormat/>
    <w:uiPriority w:val="1"/>
    <w:rPr>
      <w:rFonts w:ascii="Times New Roman" w:hAnsi="Times New Roman" w:eastAsia="宋体" w:cs="Times New Roman"/>
      <w:sz w:val="21"/>
      <w:lang w:val="en-GB" w:eastAsia="zh-CN" w:bidi="ar-SA"/>
    </w:rPr>
  </w:style>
  <w:style w:type="character" w:customStyle="1" w:styleId="37">
    <w:name w:val="标题 4 字符"/>
    <w:link w:val="6"/>
    <w:autoRedefine/>
    <w:qFormat/>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autoRedefine/>
    <w:qFormat/>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autoRedefine/>
    <w:qFormat/>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tmp18.dotx</Template>
  <Company>ths</Company>
  <Pages>15</Pages>
  <Words>775</Words>
  <Characters>4421</Characters>
  <Lines>36</Lines>
  <Paragraphs>10</Paragraphs>
  <TotalTime>0</TotalTime>
  <ScaleCrop>false</ScaleCrop>
  <LinksUpToDate>false</LinksUpToDate>
  <CharactersWithSpaces>5186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2024-01-09T08:13:00Z</dcterms:created>
  <dc:creator>PC</dc:creator>
  <cp:lastModifiedBy>神马良</cp:lastModifiedBy>
  <cp:lastPrinted>1900-12-31T16:00:00Z</cp:lastPrinted>
  <dcterms:modified xsi:type="dcterms:W3CDTF">2024-01-10T07:07:23Z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B219C0D7CB434F0AA548B6DB12DA1000_12</vt:lpwstr>
  </property>
</Properties>
</file>