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pPr>
              <w:pStyle w:val="17"/>
              <w:tabs>
                <w:tab w:val="clear" w:pos="4153"/>
                <w:tab w:val="clear" w:pos="8306"/>
              </w:tabs>
              <w:snapToGrid/>
              <w:jc w:val="both"/>
              <w:rPr>
                <w:rFonts w:ascii="宋体" w:hAnsi="宋体"/>
                <w:szCs w:val="21"/>
              </w:rPr>
            </w:pPr>
            <w:r>
              <w:rPr>
                <w:rFonts w:hint="eastAsia" w:ascii="宋体" w:hAnsi="宋体" w:eastAsia="宋体" w:cs="宋体"/>
                <w:sz w:val="24"/>
                <w:szCs w:val="24"/>
              </w:rPr>
              <w:t>木苏·居春——龙胜干栏式民居绿色、低碳、宜居改造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ascii="宋体" w:hAnsi="宋体"/>
                <w:szCs w:val="21"/>
              </w:rPr>
            </w:pPr>
            <w:r>
              <w:t>桂林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bookmarkStart w:id="1" w:name="设计编号"/>
            <w:bookmarkEnd w:id="1"/>
            <w:r>
              <w:rPr>
                <w:rFonts w:ascii="宋体" w:hAnsi="宋体" w:eastAsia="宋体" w:cs="宋体"/>
                <w:sz w:val="24"/>
                <w:szCs w:val="24"/>
              </w:rPr>
              <w:t>YB</w:t>
            </w:r>
            <w:r>
              <w:rPr>
                <w:rFonts w:hint="eastAsia" w:ascii="宋体" w:hAnsi="宋体" w:eastAsia="宋体" w:cs="宋体"/>
                <w:sz w:val="24"/>
                <w:szCs w:val="24"/>
                <w:lang w:val="en-US" w:eastAsia="zh-CN"/>
              </w:rPr>
              <w:t>1</w:t>
            </w:r>
            <w:r>
              <w:rPr>
                <w:rFonts w:ascii="宋体" w:hAnsi="宋体" w:eastAsia="宋体" w:cs="宋体"/>
                <w:sz w:val="24"/>
                <w:szCs w:val="24"/>
              </w:rPr>
              <w:t>A</w:t>
            </w:r>
            <w:r>
              <w:rPr>
                <w:rFonts w:hint="eastAsia" w:ascii="宋体" w:hAnsi="宋体" w:eastAsia="宋体" w:cs="宋体"/>
                <w:sz w:val="24"/>
                <w:szCs w:val="24"/>
                <w:lang w:val="en-US" w:eastAsia="zh-CN"/>
              </w:rPr>
              <w:t>60015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ascii="宋体" w:hAnsi="宋体"/>
                <w:szCs w:val="21"/>
              </w:rPr>
            </w:pPr>
            <w:r>
              <w:rPr>
                <w:rFonts w:ascii="宋体" w:hAnsi="宋体" w:eastAsia="宋体" w:cs="宋体"/>
                <w:sz w:val="24"/>
                <w:szCs w:val="24"/>
              </w:rPr>
              <w:t>桂林电子科技大学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r>
              <w:rPr>
                <w:rFonts w:ascii="宋体" w:hAnsi="宋体" w:eastAsia="宋体" w:cs="宋体"/>
                <w:sz w:val="24"/>
                <w:szCs w:val="24"/>
              </w:rPr>
              <w:t>桂林电子科技大学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2" w:name="报告日期"/>
            <w:r>
              <w:rPr>
                <w:rFonts w:hint="eastAsia" w:ascii="宋体" w:hAnsi="宋体"/>
                <w:szCs w:val="21"/>
              </w:rPr>
              <w:t>2024年01月</w:t>
            </w:r>
            <w:r>
              <w:rPr>
                <w:rFonts w:hint="eastAsia" w:ascii="宋体" w:hAnsi="宋体"/>
                <w:szCs w:val="21"/>
                <w:lang w:val="en-US" w:eastAsia="zh-CN"/>
              </w:rPr>
              <w:t>05</w:t>
            </w:r>
            <w:r>
              <w:rPr>
                <w:rFonts w:hint="eastAsia" w:ascii="宋体" w:hAnsi="宋体"/>
                <w:szCs w:val="21"/>
              </w:rPr>
              <w:t>日</w:t>
            </w:r>
            <w:bookmarkEnd w:id="2"/>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3" w:name="二维码"/>
      <w:bookmarkEnd w:id="3"/>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"_Toc155279520"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_Toc155279520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"_Toc155279521"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_Toc155279521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"_Toc155279522"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_Toc155279522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"_Toc155279523"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_Toc155279523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"_Toc155279524"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_Toc155279524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"_Toc155279525"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_Toc155279525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"_Toc155279526"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_Toc155279526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"_Toc155279527"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冬季工况风场计算域</w:t>
      </w:r>
      <w:r>
        <w:tab/>
      </w:r>
      <w:r>
        <w:fldChar w:fldCharType="begin"/>
      </w:r>
      <w:r>
        <w:instrText xml:space="preserve"> PAGEREF _Toc155279527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"_Toc155279528"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_Toc155279528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"_Toc155279529"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_Toc155279529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"_Toc155279530"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_Toc155279530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"_Toc155279531"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_Toc155279531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"_Toc155279532"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_Toc155279532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"_Toc155279533"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_Toc155279533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"_Toc155279534"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_Toc155279534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"_Toc155279535"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_Toc155279535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"_Toc155279536"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_Toc155279536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"_Toc155279537"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冬季工况</w:t>
      </w:r>
      <w:r>
        <w:tab/>
      </w:r>
      <w:r>
        <w:fldChar w:fldCharType="begin"/>
      </w:r>
      <w:r>
        <w:instrText xml:space="preserve"> PAGEREF _Toc155279537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"_Toc155279538"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人行区域风速达标分析</w:t>
      </w:r>
      <w:r>
        <w:tab/>
      </w:r>
      <w:r>
        <w:fldChar w:fldCharType="begin"/>
      </w:r>
      <w:r>
        <w:instrText xml:space="preserve"> PAGEREF _Toc155279538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"_Toc155279539"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人行区域风速放大系数达标分析</w:t>
      </w:r>
      <w:r>
        <w:tab/>
      </w:r>
      <w:r>
        <w:fldChar w:fldCharType="begin"/>
      </w:r>
      <w:r>
        <w:instrText xml:space="preserve"> PAGEREF _Toc155279539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"_Toc155279540"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Pr>
        <w:t>户外休息区、儿童娱乐区域风速达标分析</w:t>
      </w:r>
      <w:r>
        <w:tab/>
      </w:r>
      <w:r>
        <w:fldChar w:fldCharType="begin"/>
      </w:r>
      <w:r>
        <w:instrText xml:space="preserve"> PAGEREF _Toc155279540 \h </w:instrText>
      </w:r>
      <w:r>
        <w:fldChar w:fldCharType="separate"/>
      </w:r>
      <w:r>
        <w:t>15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"_Toc155279541"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户外休息区、儿童娱乐区风速放大系数达标分析</w:t>
      </w:r>
      <w:r>
        <w:tab/>
      </w:r>
      <w:r>
        <w:fldChar w:fldCharType="begin"/>
      </w:r>
      <w:r>
        <w:instrText xml:space="preserve"> PAGEREF _Toc155279541 \h </w:instrText>
      </w:r>
      <w:r>
        <w:fldChar w:fldCharType="separate"/>
      </w:r>
      <w:r>
        <w:t>15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"_Toc155279542" </w:instrText>
      </w:r>
      <w:r>
        <w:fldChar w:fldCharType="separate"/>
      </w:r>
      <w:r>
        <w:rPr>
          <w:rStyle w:val="26"/>
          <w:lang w:val="en-GB"/>
        </w:rPr>
        <w:t>5.2.5</w:t>
      </w:r>
      <w:r>
        <w:rPr>
          <w:rFonts w:asciiTheme="minorHAnsi" w:hAnsiTheme="minorHAnsi" w:eastAsiaTheme="minorEastAsia" w:cstheme="minorBidi"/>
          <w:szCs w:val="22"/>
          <w14:ligatures w14:val="standardContextual"/>
        </w:rPr>
        <w:tab/>
      </w:r>
      <w:r>
        <w:rPr>
          <w:rStyle w:val="26"/>
        </w:rPr>
        <w:t>冬季工况风速/风速放大系数达标结果汇总</w:t>
      </w:r>
      <w:r>
        <w:tab/>
      </w:r>
      <w:r>
        <w:fldChar w:fldCharType="begin"/>
      </w:r>
      <w:r>
        <w:instrText xml:space="preserve"> PAGEREF _Toc155279542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"_Toc155279543" </w:instrText>
      </w:r>
      <w:r>
        <w:fldChar w:fldCharType="separate"/>
      </w:r>
      <w:r>
        <w:rPr>
          <w:rStyle w:val="26"/>
          <w:lang w:val="en-GB"/>
        </w:rPr>
        <w:t>5.2.6</w:t>
      </w:r>
      <w:r>
        <w:rPr>
          <w:rFonts w:asciiTheme="minorHAnsi" w:hAnsiTheme="minorHAnsi" w:eastAsiaTheme="minorEastAsia" w:cstheme="minorBidi"/>
          <w:szCs w:val="22"/>
          <w14:ligatures w14:val="standardContextual"/>
        </w:rPr>
        <w:tab/>
      </w:r>
      <w:r>
        <w:rPr>
          <w:rStyle w:val="26"/>
        </w:rPr>
        <w:t>建筑迎风面和背风面风压分析</w:t>
      </w:r>
      <w:r>
        <w:tab/>
      </w:r>
      <w:r>
        <w:fldChar w:fldCharType="begin"/>
      </w:r>
      <w:r>
        <w:instrText xml:space="preserve"> PAGEREF _Toc155279543 \h </w:instrText>
      </w:r>
      <w:r>
        <w:fldChar w:fldCharType="separate"/>
      </w:r>
      <w:r>
        <w:t>16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"_Toc155279544"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_Toc155279544 \h </w:instrText>
      </w:r>
      <w:r>
        <w:fldChar w:fldCharType="separate"/>
      </w:r>
      <w:r>
        <w:t>19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"_Toc155279545"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冬季工况达标判断</w:t>
      </w:r>
      <w:r>
        <w:tab/>
      </w:r>
      <w:r>
        <w:fldChar w:fldCharType="begin"/>
      </w:r>
      <w:r>
        <w:instrText xml:space="preserve"> PAGEREF _Toc155279545 \h </w:instrText>
      </w:r>
      <w:r>
        <w:fldChar w:fldCharType="separate"/>
      </w:r>
      <w:r>
        <w:t>19</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4" w:name="_Toc452108759"/>
      <w:bookmarkStart w:id="5" w:name="_Toc155279520"/>
      <w:r>
        <w:rPr>
          <w:rFonts w:hint="eastAsia"/>
        </w:rPr>
        <w:t>项目概况</w:t>
      </w:r>
      <w:bookmarkEnd w:id="4"/>
      <w:bookmarkEnd w:id="5"/>
    </w:p>
    <w:p>
      <w:pPr>
        <w:pStyle w:val="3"/>
        <w:ind w:firstLine="420"/>
        <w:rPr>
          <w:rFonts w:hint="default" w:eastAsia="宋体"/>
          <w:lang w:val="en-US" w:eastAsia="zh-CN"/>
        </w:rPr>
      </w:pPr>
      <w:bookmarkStart w:id="6" w:name="项目概况"/>
      <w:bookmarkEnd w:id="6"/>
      <w:r>
        <w:rPr>
          <w:rFonts w:hint="eastAsia"/>
          <w:lang w:val="en-US" w:eastAsia="zh-CN"/>
        </w:rPr>
        <w:t>本项目位于桂林市龙胜地区。</w:t>
      </w:r>
      <w:bookmarkStart w:id="142" w:name="_GoBack"/>
      <w:bookmarkEnd w:id="14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7" w:name="_Toc452108760"/>
      <w:bookmarkStart w:id="8" w:name="_Toc155279521"/>
      <w:r>
        <w:rPr>
          <w:rFonts w:hint="eastAsia"/>
        </w:rPr>
        <w:t>总</w:t>
      </w:r>
      <w:r>
        <w:t>平面图</w:t>
      </w:r>
      <w:bookmarkEnd w:id="7"/>
      <w:bookmarkEnd w:id="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9"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9"/>
    </w:tbl>
    <w:p>
      <w:pPr>
        <w:pStyle w:val="3"/>
        <w:ind w:firstLine="0" w:firstLineChars="0"/>
        <w:jc w:val="center"/>
        <w:rPr>
          <w:lang w:val="en-US"/>
        </w:rPr>
      </w:pPr>
      <w:r>
        <w:rPr>
          <w:rFonts w:hint="eastAsia"/>
          <w:lang w:val="en-US"/>
        </w:rPr>
        <w:t xml:space="preserve"> </w:t>
      </w:r>
      <w:bookmarkStart w:id="10" w:name="总平面图"/>
      <w:bookmarkEnd w:id="10"/>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1" w:name="_Toc155279522"/>
      <w:bookmarkStart w:id="12" w:name="_Toc452108761"/>
      <w:r>
        <w:rPr>
          <w:rFonts w:hint="eastAsia"/>
        </w:rPr>
        <w:t>三</w:t>
      </w:r>
      <w:r>
        <w:t>维视图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3"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三维视图"/>
      <w:bookmarkEnd w:id="14"/>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5" w:name="_Toc155279523"/>
      <w:bookmarkStart w:id="16" w:name="_Toc452108762"/>
      <w:bookmarkStart w:id="17" w:name="TitleFormat"/>
      <w:r>
        <w:rPr>
          <w:rFonts w:hint="eastAsia"/>
        </w:rPr>
        <w:t>计算</w:t>
      </w:r>
      <w:r>
        <w:t>依据</w:t>
      </w:r>
      <w:bookmarkEnd w:id="15"/>
      <w:bookmarkEnd w:id="16"/>
      <w:bookmarkEnd w:id="17"/>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18" w:name="参考标准名称1"/>
      <w:r>
        <w:rPr>
          <w:rFonts w:hint="eastAsia"/>
          <w:lang w:val="en-US"/>
        </w:rPr>
        <w:t>《绿色建筑评价标准》GB/T50378-2019</w:t>
      </w:r>
      <w:bookmarkEnd w:id="18"/>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19" w:name="_Toc155279524"/>
      <w:bookmarkStart w:id="20" w:name="_Toc452108763"/>
      <w:r>
        <w:rPr>
          <w:rFonts w:hint="eastAsia"/>
        </w:rPr>
        <w:t>参考</w:t>
      </w:r>
      <w:r>
        <w:t>标准</w:t>
      </w:r>
      <w:bookmarkEnd w:id="19"/>
      <w:bookmarkEnd w:id="20"/>
    </w:p>
    <w:p>
      <w:pPr>
        <w:pStyle w:val="3"/>
        <w:ind w:firstLine="420"/>
        <w:rPr>
          <w:lang w:val="en-US"/>
        </w:rPr>
      </w:pPr>
      <w:r>
        <w:rPr>
          <w:rFonts w:hint="eastAsia"/>
          <w:lang w:val="en-US"/>
        </w:rPr>
        <w:t>室外风环境评价依据为</w:t>
      </w:r>
      <w:bookmarkStart w:id="21" w:name="参考标准名称2"/>
      <w:r>
        <w:rPr>
          <w:rFonts w:hint="eastAsia"/>
          <w:lang w:val="en-US"/>
        </w:rPr>
        <w:t>《绿色建筑评价标准》GB/T50378-2019</w:t>
      </w:r>
      <w:bookmarkEnd w:id="21"/>
      <w:r>
        <w:rPr>
          <w:rFonts w:hint="eastAsia"/>
          <w:lang w:val="en-US"/>
        </w:rPr>
        <w:t>中有关室外风环境的条目要求。具体要求如下：</w:t>
      </w:r>
    </w:p>
    <w:p>
      <w:pPr>
        <w:pStyle w:val="3"/>
        <w:ind w:firstLine="420"/>
        <w:rPr>
          <w:lang w:val="en-US"/>
        </w:rPr>
      </w:pPr>
      <w:bookmarkStart w:id="22" w:name="_Toc451698935"/>
      <w:bookmarkStart w:id="23" w:name="_Toc452108764"/>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5" w:name="参考标准冬季风速得分"/>
      <w:r>
        <w:rPr>
          <w:lang w:val="en-US"/>
        </w:rPr>
        <w:t>3</w:t>
      </w:r>
      <w:bookmarkEnd w:id="25"/>
      <w:r>
        <w:rPr>
          <w:rFonts w:hint="eastAsia"/>
          <w:lang w:val="en-US"/>
        </w:rPr>
        <w:t>分；除迎风第一排建筑外，建筑迎风面与背风面表面风压差不超过5Pa，得</w:t>
      </w:r>
      <w:bookmarkStart w:id="26" w:name="参考标准冬季风压得分"/>
      <w:r>
        <w:rPr>
          <w:lang w:val="en-US"/>
        </w:rPr>
        <w:t>2</w:t>
      </w:r>
      <w:bookmarkEnd w:id="26"/>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7" w:name="参考标准夏季风速得分"/>
      <w:r>
        <w:rPr>
          <w:lang w:val="en-US"/>
        </w:rPr>
        <w:t>3</w:t>
      </w:r>
      <w:bookmarkEnd w:id="27"/>
      <w:r>
        <w:rPr>
          <w:rFonts w:hint="eastAsia"/>
          <w:lang w:val="en-US"/>
        </w:rPr>
        <w:t>分；50%以上可开启外窗室内外表面的风压差大于0.5Pa，得</w:t>
      </w:r>
      <w:bookmarkStart w:id="28" w:name="参考标准夏季风压得分"/>
      <w:r>
        <w:rPr>
          <w:lang w:val="en-US"/>
        </w:rPr>
        <w:t>2</w:t>
      </w:r>
      <w:bookmarkEnd w:id="28"/>
      <w:r>
        <w:rPr>
          <w:rFonts w:hint="eastAsia"/>
          <w:lang w:val="en-US"/>
        </w:rPr>
        <w:t>分。</w:t>
      </w:r>
    </w:p>
    <w:p>
      <w:pPr>
        <w:pStyle w:val="2"/>
      </w:pPr>
      <w:bookmarkStart w:id="29" w:name="_Toc155279525"/>
      <w:r>
        <w:rPr>
          <w:rFonts w:hint="eastAsia"/>
        </w:rPr>
        <w:t>计算原理</w:t>
      </w:r>
      <w:bookmarkEnd w:id="22"/>
      <w:bookmarkEnd w:id="23"/>
      <w:bookmarkEnd w:id="29"/>
    </w:p>
    <w:p>
      <w:pPr>
        <w:pStyle w:val="4"/>
        <w:numPr>
          <w:ilvl w:val="1"/>
          <w:numId w:val="3"/>
        </w:numPr>
      </w:pPr>
      <w:bookmarkStart w:id="30" w:name="_Toc155279526"/>
      <w:bookmarkStart w:id="31" w:name="_Toc509844740"/>
      <w:bookmarkStart w:id="32" w:name="_Toc451698937"/>
      <w:bookmarkStart w:id="33" w:name="_Toc452108765"/>
      <w:r>
        <w:rPr>
          <w:rFonts w:hint="eastAsia"/>
        </w:rPr>
        <w:t>风场计算域</w:t>
      </w:r>
      <w:bookmarkEnd w:id="30"/>
      <w:bookmarkEnd w:id="31"/>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4" w:name="_Toc155279527"/>
      <w:r>
        <w:rPr>
          <w:rFonts w:hint="eastAsia"/>
        </w:rPr>
        <w:t>冬季工况风场计算域</w:t>
      </w:r>
      <w:bookmarkEnd w:id="34"/>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5" w:name="季节2"/>
      <w:r>
        <w:rPr>
          <w:rFonts w:hint="eastAsia" w:ascii="黑体" w:hAnsi="黑体" w:eastAsia="黑体"/>
          <w:sz w:val="20"/>
          <w:szCs w:val="20"/>
        </w:rPr>
        <w:t>冬季</w:t>
      </w:r>
      <w:bookmarkEnd w:id="35"/>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X尺寸"/>
            <w:r>
              <w:t>340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7" w:name="冬季风场Y尺寸"/>
            <w:r>
              <w:t>253</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8" w:name="冬季风场Z尺寸"/>
            <w:r>
              <w:t>107</w:t>
            </w:r>
            <w:bookmarkEnd w:id="38"/>
          </w:p>
        </w:tc>
      </w:tr>
    </w:tbl>
    <w:p>
      <w:pPr>
        <w:pStyle w:val="3"/>
        <w:ind w:firstLine="0" w:firstLineChars="0"/>
        <w:jc w:val="center"/>
        <w:rPr>
          <w:lang w:val="en-US"/>
        </w:rPr>
      </w:pPr>
      <w:bookmarkStart w:id="39" w:name="冬季工况风场计算域图示"/>
      <w:bookmarkEnd w:id="39"/>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0" w:name="季节3"/>
      <w:r>
        <w:rPr>
          <w:rFonts w:hint="eastAsia" w:ascii="黑体" w:hAnsi="黑体"/>
        </w:rPr>
        <w:t>冬季</w:t>
      </w:r>
      <w:bookmarkEnd w:id="40"/>
      <w:r>
        <w:rPr>
          <w:rFonts w:hint="eastAsia"/>
        </w:rPr>
        <w:t>工况风场计算域图示</w:t>
      </w:r>
      <w:r>
        <w:rPr>
          <w:rFonts w:hint="eastAsia"/>
          <w:szCs w:val="21"/>
          <w:lang w:val="en-US"/>
        </w:rPr>
        <w:t xml:space="preserve"> </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155279528"/>
      <w:bookmarkStart w:id="43" w:name="_Toc509844741"/>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4" w:name="OLE_LINK276"/>
      <w:bookmarkStart w:id="45" w:name="OLE_LINK277"/>
      <w:r>
        <w:rPr>
          <w:rFonts w:hint="eastAsia"/>
        </w:rPr>
        <w:t>1）普通网格：指除靠近地面和建筑以外的网格，通常不需要特别加密处理</w:t>
      </w:r>
    </w:p>
    <w:p>
      <w:pPr>
        <w:pStyle w:val="12"/>
        <w:numPr>
          <w:ilvl w:val="0"/>
          <w:numId w:val="4"/>
        </w:numPr>
        <w:spacing w:before="156"/>
      </w:pPr>
      <w:bookmarkStart w:id="46" w:name="OLE_LINK15"/>
      <w:r>
        <w:rPr>
          <w:rFonts w:hint="eastAsia"/>
        </w:rPr>
        <w:t>分弧精度：对于有圆弧特征的建筑局部，把圆弧分解为线段时，弦到弧的最大距离；</w:t>
      </w:r>
    </w:p>
    <w:bookmarkEnd w:id="46"/>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4"/>
      <w:bookmarkEnd w:id="45"/>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47" w:name="季节1"/>
      <w:r>
        <w:rPr>
          <w:rFonts w:hint="eastAsia" w:ascii="黑体" w:hAnsi="黑体"/>
        </w:rPr>
        <w:t>冬季</w:t>
      </w:r>
      <w:bookmarkEnd w:id="47"/>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8" w:name="冬季网格总数"/>
            <w:r>
              <w:t>1044433</w:t>
            </w:r>
            <w:bookmarkEnd w:id="48"/>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分弧精度"/>
            <w:r>
              <w:t>0.12</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初始网格"/>
            <w:r>
              <w:t>8.0</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最小细分级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最大细分级数"/>
            <w:r>
              <w:t>4</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远场细分级数"/>
            <w:r>
              <w:t>2</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近场细分级数"/>
            <w:r>
              <w:t>4</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地面附面层数"/>
            <w:r>
              <w:t>6</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建筑附面层数"/>
            <w:r>
              <w:t>2</w:t>
            </w:r>
            <w:bookmarkEnd w:id="56"/>
          </w:p>
        </w:tc>
      </w:tr>
    </w:tbl>
    <w:p>
      <w:pPr>
        <w:rPr>
          <w:szCs w:val="21"/>
          <w:lang w:val="en-US"/>
        </w:rPr>
      </w:pPr>
    </w:p>
    <w:p>
      <w:pPr>
        <w:jc w:val="center"/>
      </w:pPr>
      <w:r>
        <w:drawing>
          <wp:inline distT="0" distB="0" distL="0" distR="0">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57" w:name="季节"/>
      <w:r>
        <w:rPr>
          <w:rFonts w:hint="eastAsia" w:ascii="黑体" w:hAnsi="黑体" w:eastAsia="黑体"/>
          <w:sz w:val="20"/>
        </w:rPr>
        <w:t>冬季</w:t>
      </w:r>
      <w:bookmarkEnd w:id="57"/>
    </w:p>
    <w:p>
      <w:pPr>
        <w:pStyle w:val="3"/>
        <w:ind w:firstLine="630" w:firstLineChars="300"/>
        <w:rPr>
          <w:rFonts w:ascii="黑体" w:hAnsi="黑体" w:eastAsia="黑体"/>
          <w:szCs w:val="20"/>
          <w:lang w:val="en-US"/>
        </w:rPr>
      </w:pPr>
      <w:bookmarkStart w:id="58" w:name="网格划分信息"/>
      <w:bookmarkEnd w:id="58"/>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59" w:name="网格图"/>
      <w:bookmarkEnd w:id="59"/>
    </w:p>
    <w:p>
      <w:pPr>
        <w:pStyle w:val="4"/>
        <w:numPr>
          <w:ilvl w:val="1"/>
          <w:numId w:val="3"/>
        </w:numPr>
      </w:pPr>
      <w:bookmarkStart w:id="60" w:name="_Toc155279529"/>
      <w:bookmarkStart w:id="61" w:name="_Toc509844742"/>
      <w:r>
        <w:rPr>
          <w:rFonts w:hint="eastAsia"/>
        </w:rPr>
        <w:t>边界条件</w:t>
      </w:r>
      <w:bookmarkEnd w:id="60"/>
      <w:bookmarkEnd w:id="6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2" w:name="_Toc509844743"/>
      <w:bookmarkStart w:id="63" w:name="_Toc155279530"/>
      <w:r>
        <w:rPr>
          <w:rFonts w:hint="eastAsia"/>
        </w:rPr>
        <w:t>入口与出口边界条件</w:t>
      </w:r>
      <w:bookmarkEnd w:id="62"/>
      <w:bookmarkEnd w:id="6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3pt;width:71.3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8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4" w:name="地面粗糙度指数2"/>
      <w:r>
        <w:rPr>
          <w:rFonts w:hint="eastAsia"/>
          <w:lang w:val="en-US"/>
        </w:rPr>
        <w:t>0.22</w:t>
      </w:r>
      <w:bookmarkEnd w:id="6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5" w:name="_Toc509844744"/>
      <w:bookmarkStart w:id="66" w:name="_Toc155279531"/>
      <w:r>
        <w:rPr>
          <w:rFonts w:hint="eastAsia"/>
        </w:rPr>
        <w:t>壁面边界条件</w:t>
      </w:r>
      <w:bookmarkEnd w:id="65"/>
      <w:bookmarkEnd w:id="6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7" w:name="_Toc155279532"/>
      <w:r>
        <w:rPr>
          <w:rFonts w:hint="eastAsia"/>
        </w:rPr>
        <w:t>湍流模型</w:t>
      </w:r>
      <w:bookmarkEnd w:id="32"/>
      <w:bookmarkEnd w:id="33"/>
      <w:bookmarkEnd w:id="6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8" w:name="_Toc451698939"/>
      <w:bookmarkStart w:id="69" w:name="_Toc452108767"/>
      <w:bookmarkStart w:id="70" w:name="_Toc155279533"/>
      <w:r>
        <w:rPr>
          <w:rFonts w:hint="eastAsia"/>
        </w:rPr>
        <w:t>求解计算</w:t>
      </w:r>
      <w:bookmarkEnd w:id="68"/>
      <w:bookmarkEnd w:id="69"/>
      <w:bookmarkEnd w:id="7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1"/>
      <w:r>
        <w:rPr>
          <w:rFonts w:hint="eastAsia" w:ascii="黑体" w:hAnsi="黑体" w:eastAsia="黑体"/>
          <w:sz w:val="20"/>
          <w:szCs w:val="20"/>
        </w:rPr>
        <w:t xml:space="preserve"> </w:t>
      </w:r>
      <w:bookmarkStart w:id="72" w:name="_Ref225175618"/>
      <w:r>
        <w:rPr>
          <w:rFonts w:hint="eastAsia" w:ascii="黑体" w:hAnsi="黑体" w:eastAsia="黑体"/>
          <w:sz w:val="20"/>
          <w:szCs w:val="20"/>
        </w:rPr>
        <w:t>计算流体力学的控制方程</w:t>
      </w:r>
      <w:bookmarkEnd w:id="7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73" w:name="_Toc509844747"/>
      <w:bookmarkStart w:id="74" w:name="_Toc155279534"/>
      <w:r>
        <w:rPr>
          <w:rFonts w:hint="eastAsia"/>
        </w:rPr>
        <w:t>风速放大系数计算</w:t>
      </w:r>
      <w:bookmarkEnd w:id="73"/>
      <w:bookmarkEnd w:id="7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15pt;width:23.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3.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5" w:name="地面粗糙度指数"/>
      <w:r>
        <w:rPr>
          <w:rFonts w:hint="eastAsia"/>
          <w:lang w:val="en-US"/>
        </w:rPr>
        <w:t>0.22</w:t>
      </w:r>
      <w:bookmarkEnd w:id="7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6" w:name="_Toc452108768"/>
      <w:bookmarkStart w:id="77" w:name="_Toc155279535"/>
      <w:r>
        <w:rPr>
          <w:rFonts w:hint="eastAsia"/>
        </w:rPr>
        <w:t>结果</w:t>
      </w:r>
      <w:r>
        <w:t>分析</w:t>
      </w:r>
      <w:bookmarkEnd w:id="76"/>
      <w:bookmarkEnd w:id="77"/>
    </w:p>
    <w:p>
      <w:pPr>
        <w:pStyle w:val="4"/>
        <w:rPr>
          <w:szCs w:val="21"/>
        </w:rPr>
      </w:pPr>
      <w:bookmarkStart w:id="78" w:name="_Toc155279536"/>
      <w:r>
        <w:rPr>
          <w:rFonts w:hint="eastAsia"/>
          <w:szCs w:val="21"/>
        </w:rPr>
        <w:t>工况</w:t>
      </w:r>
      <w:r>
        <w:rPr>
          <w:szCs w:val="21"/>
        </w:rPr>
        <w:t>表</w:t>
      </w:r>
      <w:bookmarkEnd w:id="7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4.40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7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0" w:name="_Toc155279537"/>
      <w:bookmarkStart w:id="81" w:name="_Toc509844750"/>
      <w:r>
        <w:rPr>
          <w:rFonts w:hint="eastAsia"/>
        </w:rPr>
        <w:t>冬季工况</w:t>
      </w:r>
      <w:bookmarkEnd w:id="80"/>
      <w:bookmarkEnd w:id="81"/>
    </w:p>
    <w:p>
      <w:pPr>
        <w:ind w:firstLine="420" w:firstLineChars="200"/>
        <w:jc w:val="both"/>
      </w:pPr>
      <w:r>
        <w:rPr>
          <w:rFonts w:hint="eastAsia"/>
          <w:lang w:val="en-US"/>
        </w:rPr>
        <w:t>本项目冬季工况的入口边界风速为</w:t>
      </w:r>
      <w:bookmarkStart w:id="82" w:name="冬季入口边界风速"/>
      <w:r>
        <w:rPr>
          <w:rFonts w:hint="eastAsia" w:ascii="Calibri" w:hAnsi="Calibri"/>
          <w:szCs w:val="21"/>
        </w:rPr>
        <w:t>4.40</w:t>
      </w:r>
      <w:bookmarkEnd w:id="82"/>
      <w:r>
        <w:rPr>
          <w:rFonts w:ascii="Calibri" w:hAnsi="Calibri"/>
          <w:szCs w:val="21"/>
        </w:rPr>
        <w:t>m/s</w:t>
      </w:r>
      <w:r>
        <w:rPr>
          <w:rFonts w:hint="eastAsia" w:ascii="Calibri" w:hAnsi="Calibri"/>
          <w:szCs w:val="21"/>
        </w:rPr>
        <w:t>，风向为</w:t>
      </w:r>
      <w:bookmarkStart w:id="83" w:name="冬季入口边界风向"/>
      <w:r>
        <w:rPr>
          <w:szCs w:val="21"/>
        </w:rPr>
        <w:t>NE</w:t>
      </w:r>
      <w:bookmarkEnd w:id="83"/>
      <w:r>
        <w:rPr>
          <w:rFonts w:hint="eastAsia"/>
          <w:szCs w:val="21"/>
        </w:rPr>
        <w:t>。</w:t>
      </w:r>
    </w:p>
    <w:p>
      <w:pPr>
        <w:pStyle w:val="5"/>
      </w:pPr>
      <w:bookmarkStart w:id="84" w:name="_Toc509844751"/>
      <w:bookmarkStart w:id="85" w:name="_Toc155279538"/>
      <w:r>
        <w:rPr>
          <w:rFonts w:hint="eastAsia"/>
        </w:rPr>
        <w:t>人行区域风速达标分析</w:t>
      </w:r>
      <w:bookmarkEnd w:id="84"/>
      <w:bookmarkEnd w:id="85"/>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6" w:name="冬季工况人行区风速分析结论"/>
      <w:bookmarkEnd w:id="86"/>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7" w:name="冬季工况人行区风速云图"/>
      <w:bookmarkEnd w:id="87"/>
      <w:r>
        <w:drawing>
          <wp:inline distT="0" distB="0" distL="0" distR="0">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88" w:name="_Toc509844752"/>
      <w:bookmarkStart w:id="89" w:name="_Toc155279539"/>
      <w:r>
        <w:rPr>
          <w:rFonts w:hint="eastAsia"/>
        </w:rPr>
        <w:t>人行区域风速放大系数达标分析</w:t>
      </w:r>
      <w:bookmarkEnd w:id="88"/>
      <w:bookmarkEnd w:id="89"/>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0" w:name="冬季工况人行区风速放大系数分析结论"/>
      <w:bookmarkEnd w:id="90"/>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1" w:name="冬季工况人行区风速放大系数云图"/>
      <w:bookmarkEnd w:id="91"/>
      <w:r>
        <w:drawing>
          <wp:inline distT="0" distB="0" distL="0" distR="0">
            <wp:extent cx="5667375" cy="3124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2" w:name="_Toc155279540"/>
      <w:r>
        <w:rPr>
          <w:rFonts w:hint="eastAsia"/>
        </w:rPr>
        <w:t>户外休息区、儿童娱乐区</w:t>
      </w:r>
      <w:r>
        <w:t>域风速达标分析</w:t>
      </w:r>
      <w:bookmarkEnd w:id="92"/>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3" w:name="冬季工况休息区风速分析结论"/>
      <w:bookmarkEnd w:id="93"/>
      <w:r>
        <w:rPr>
          <w:lang w:val="en-US"/>
        </w:rPr>
        <w:t>黑色等值线内的户外休息区、儿童娱乐区风速</w:t>
      </w:r>
      <w:r>
        <w:rPr>
          <w:color w:val="FF0000"/>
          <w:lang w:val="en-US"/>
        </w:rPr>
        <w:t>大于</w:t>
      </w:r>
      <w:r>
        <w:rPr>
          <w:lang w:val="en-US"/>
        </w:rPr>
        <w:t>2m/s，因此</w:t>
      </w:r>
      <w:r>
        <w:rPr>
          <w:color w:val="FF0000"/>
          <w:lang w:val="en-US"/>
        </w:rPr>
        <w:t>不满足</w:t>
      </w:r>
      <w:r>
        <w:rPr>
          <w:lang w:val="en-US"/>
        </w:rPr>
        <w:t>绿标要求。</w:t>
      </w:r>
    </w:p>
    <w:p>
      <w:pPr>
        <w:pStyle w:val="3"/>
        <w:ind w:left="-6" w:leftChars="-3" w:firstLine="4" w:firstLineChars="2"/>
        <w:jc w:val="center"/>
        <w:rPr>
          <w:rFonts w:ascii="Calibri Light" w:hAnsi="Calibri Light" w:eastAsia="黑体"/>
          <w:sz w:val="20"/>
          <w:szCs w:val="20"/>
        </w:rPr>
      </w:pPr>
      <w:bookmarkStart w:id="94" w:name="冬季工况休息区风速云图"/>
      <w:bookmarkEnd w:id="94"/>
      <w:r>
        <w:drawing>
          <wp:inline distT="0" distB="0" distL="0" distR="0">
            <wp:extent cx="5667375" cy="3171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95" w:name="_Toc155279541"/>
      <w:r>
        <w:rPr>
          <w:rFonts w:hint="eastAsia"/>
        </w:rPr>
        <w:t>户外休息区、儿童娱乐区风速放大系数达标</w:t>
      </w:r>
      <w:r>
        <w:t>分析</w:t>
      </w:r>
      <w:bookmarkEnd w:id="95"/>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6" w:name="冬季工况户外休息区和儿童娱乐区风速放大系数分析结论"/>
      <w:bookmarkEnd w:id="96"/>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97" w:name="冬季工况户外休息区和儿童娱乐区风速放大系数云图"/>
      <w:bookmarkEnd w:id="97"/>
      <w:r>
        <w:drawing>
          <wp:inline distT="0" distB="0" distL="0" distR="0">
            <wp:extent cx="5667375" cy="31242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98" w:name="_Toc509844753"/>
      <w:bookmarkStart w:id="99" w:name="_Toc155279542"/>
      <w:r>
        <w:rPr>
          <w:rFonts w:hint="eastAsia"/>
        </w:rPr>
        <w:t>冬季工况风速/风速放大系数达标</w:t>
      </w:r>
      <w:bookmarkEnd w:id="98"/>
      <w:r>
        <w:rPr>
          <w:rFonts w:hint="eastAsia"/>
        </w:rPr>
        <w:t>结果汇总</w:t>
      </w:r>
      <w:bookmarkEnd w:id="99"/>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FF0000"/>
                <w:sz w:val="22"/>
                <w:szCs w:val="22"/>
                <w:lang w:val="en-US"/>
              </w:rPr>
              <w:t>是</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FF0000"/>
                <w:sz w:val="22"/>
                <w:szCs w:val="22"/>
                <w:lang w:val="en-US"/>
              </w:rPr>
              <w:t>否</w:t>
            </w:r>
            <w:bookmarkEnd w:id="10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是</w:t>
            </w:r>
            <w:bookmarkEnd w:id="108"/>
          </w:p>
        </w:tc>
      </w:tr>
    </w:tbl>
    <w:p/>
    <w:p>
      <w:pPr>
        <w:pStyle w:val="5"/>
      </w:pPr>
      <w:bookmarkStart w:id="109" w:name="_Toc155279543"/>
      <w:r>
        <w:rPr>
          <w:rFonts w:hint="eastAsia"/>
        </w:rPr>
        <w:t>建筑迎风面和背风面风压分析</w:t>
      </w:r>
      <w:bookmarkEnd w:id="109"/>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0" w:name="冬季工况建筑迎风面风压云图"/>
      <w:bookmarkEnd w:id="110"/>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1" w:name="冬季工况建筑背风面风压云图"/>
      <w:bookmarkEnd w:id="111"/>
      <w:r>
        <w:drawing>
          <wp:inline distT="0" distB="0" distL="0" distR="0">
            <wp:extent cx="5667375" cy="3429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6"/>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2"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-木构(A绿建 - 副本\A绿建 - 副本\木构斯维尔建模用2007-节能处理版 - 室内通风)</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-0.96</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-0.97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0.01</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3</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3" w:name="建筑迎背风面风压差表_建筑名"/>
      <w:r>
        <w:rPr>
          <w:rFonts w:ascii="Cambria" w:hAnsi="Cambria" w:eastAsia="黑体"/>
          <w:sz w:val="20"/>
        </w:rPr>
        <w:t>砖混建筑(砖混建模用2007)</w:t>
      </w:r>
      <w:bookmarkEnd w:id="113"/>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-1.70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-2.45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0.75</w:t>
            </w:r>
          </w:p>
        </w:tc>
      </w:tr>
    </w:tbl>
    <w:p>
      <w:bookmarkStart w:id="114" w:name="结论"/>
      <w:bookmarkEnd w:id="114"/>
      <w:r>
        <w:t>标准要求：迎背风面窗平均风压差（绝对值）≤5Pa。结论：该楼</w:t>
      </w:r>
      <w:r>
        <w:rPr>
          <w:b/>
          <w:color w:val="0000FF"/>
        </w:rPr>
        <w:t>达标</w:t>
      </w:r>
      <w:r>
        <w:t>。</w:t>
      </w:r>
    </w:p>
    <w:bookmarkEnd w:id="112"/>
    <w:p>
      <w:pPr>
        <w:jc w:val="center"/>
        <w:rPr>
          <w:rFonts w:ascii="Cambria" w:hAnsi="Cambria" w:eastAsia="黑体"/>
          <w:sz w:val="20"/>
        </w:rPr>
      </w:pPr>
      <w:bookmarkStart w:id="115" w:name="建筑迎背风面风压差表_新增"/>
      <w:bookmarkEnd w:id="115"/>
      <w:bookmarkStart w:id="116" w:name="建筑迎背风面风压差表"/>
    </w:p>
    <w:bookmarkEnd w:id="11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4</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其他建筑5</w:t>
            </w:r>
          </w:p>
        </w:tc>
        <w:tc>
          <w:tcPr>
            <w:tcW w:w="1276" w:type="dxa"/>
            <w:shd w:val="clear" w:color="auto" w:fill="auto"/>
            <w:vAlign w:val="center"/>
          </w:tcPr>
          <w:p>
            <w:pPr>
              <w:jc w:val="center"/>
              <w:rPr>
                <w:lang w:val="en-US"/>
              </w:rPr>
            </w:pPr>
            <w:r>
              <w:rPr>
                <w:lang w:val="en-US"/>
              </w:rPr>
              <w:t>1.17</w:t>
            </w:r>
          </w:p>
        </w:tc>
        <w:tc>
          <w:tcPr>
            <w:tcW w:w="1276" w:type="dxa"/>
            <w:shd w:val="clear" w:color="auto" w:fill="auto"/>
            <w:vAlign w:val="center"/>
          </w:tcPr>
          <w:p>
            <w:pPr>
              <w:jc w:val="center"/>
              <w:rPr>
                <w:lang w:val="en-US"/>
              </w:rPr>
            </w:pPr>
            <w:r>
              <w:rPr>
                <w:lang w:val="en-US"/>
              </w:rPr>
              <w:t>-2.28</w:t>
            </w:r>
          </w:p>
        </w:tc>
        <w:tc>
          <w:tcPr>
            <w:tcW w:w="1701" w:type="dxa"/>
            <w:shd w:val="clear" w:color="auto" w:fill="auto"/>
            <w:vAlign w:val="center"/>
          </w:tcPr>
          <w:p>
            <w:pPr>
              <w:jc w:val="center"/>
              <w:rPr>
                <w:lang w:val="en-US"/>
              </w:rPr>
            </w:pPr>
            <w:r>
              <w:rPr>
                <w:lang w:val="en-US"/>
              </w:rPr>
              <w:t>3.45</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其他建筑6</w:t>
            </w:r>
          </w:p>
        </w:tc>
        <w:tc>
          <w:tcPr>
            <w:tcW w:w="1276" w:type="dxa"/>
            <w:shd w:val="clear" w:color="auto" w:fill="auto"/>
            <w:vAlign w:val="center"/>
          </w:tcPr>
          <w:p>
            <w:pPr>
              <w:jc w:val="center"/>
              <w:rPr>
                <w:lang w:val="en-US"/>
              </w:rPr>
            </w:pPr>
            <w:r>
              <w:rPr>
                <w:lang w:val="en-US"/>
              </w:rPr>
              <w:t>1.88</w:t>
            </w:r>
          </w:p>
        </w:tc>
        <w:tc>
          <w:tcPr>
            <w:tcW w:w="1276" w:type="dxa"/>
            <w:shd w:val="clear" w:color="auto" w:fill="auto"/>
            <w:vAlign w:val="center"/>
          </w:tcPr>
          <w:p>
            <w:pPr>
              <w:jc w:val="center"/>
              <w:rPr>
                <w:lang w:val="en-US"/>
              </w:rPr>
            </w:pPr>
            <w:r>
              <w:rPr>
                <w:lang w:val="en-US"/>
              </w:rPr>
              <w:t>-0.92</w:t>
            </w:r>
          </w:p>
        </w:tc>
        <w:tc>
          <w:tcPr>
            <w:tcW w:w="1701" w:type="dxa"/>
            <w:shd w:val="clear" w:color="auto" w:fill="auto"/>
            <w:vAlign w:val="center"/>
          </w:tcPr>
          <w:p>
            <w:pPr>
              <w:jc w:val="center"/>
              <w:rPr>
                <w:lang w:val="en-US"/>
              </w:rPr>
            </w:pPr>
            <w:r>
              <w:rPr>
                <w:lang w:val="en-US"/>
              </w:rPr>
              <w:t>2.80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其他建筑7</w:t>
            </w:r>
          </w:p>
        </w:tc>
        <w:tc>
          <w:tcPr>
            <w:tcW w:w="1276" w:type="dxa"/>
            <w:shd w:val="clear" w:color="auto" w:fill="auto"/>
            <w:vAlign w:val="center"/>
          </w:tcPr>
          <w:p>
            <w:pPr>
              <w:jc w:val="center"/>
              <w:rPr>
                <w:lang w:val="en-US"/>
              </w:rPr>
            </w:pPr>
            <w:r>
              <w:rPr>
                <w:lang w:val="en-US"/>
              </w:rPr>
              <w:t>-0.20</w:t>
            </w:r>
          </w:p>
        </w:tc>
        <w:tc>
          <w:tcPr>
            <w:tcW w:w="1276" w:type="dxa"/>
            <w:shd w:val="clear" w:color="auto" w:fill="auto"/>
            <w:vAlign w:val="center"/>
          </w:tcPr>
          <w:p>
            <w:pPr>
              <w:jc w:val="center"/>
              <w:rPr>
                <w:lang w:val="en-US"/>
              </w:rPr>
            </w:pPr>
            <w:r>
              <w:rPr>
                <w:lang w:val="en-US"/>
              </w:rPr>
              <w:t>-2.33</w:t>
            </w:r>
          </w:p>
        </w:tc>
        <w:tc>
          <w:tcPr>
            <w:tcW w:w="1701" w:type="dxa"/>
            <w:shd w:val="clear" w:color="auto" w:fill="auto"/>
            <w:vAlign w:val="center"/>
          </w:tcPr>
          <w:p>
            <w:pPr>
              <w:jc w:val="center"/>
              <w:rPr>
                <w:lang w:val="en-US"/>
              </w:rPr>
            </w:pPr>
            <w:r>
              <w:rPr>
                <w:lang w:val="en-US"/>
              </w:rPr>
              <w:t>2.13</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-1.09</w:t>
            </w:r>
          </w:p>
        </w:tc>
        <w:tc>
          <w:tcPr>
            <w:tcW w:w="1276" w:type="dxa"/>
            <w:shd w:val="clear" w:color="auto" w:fill="auto"/>
            <w:vAlign w:val="center"/>
          </w:tcPr>
          <w:p>
            <w:pPr>
              <w:jc w:val="center"/>
              <w:rPr>
                <w:lang w:val="en-US"/>
              </w:rPr>
            </w:pPr>
            <w:r>
              <w:rPr>
                <w:lang w:val="en-US"/>
              </w:rPr>
              <w:t>-0.58</w:t>
            </w:r>
          </w:p>
        </w:tc>
        <w:tc>
          <w:tcPr>
            <w:tcW w:w="1701" w:type="dxa"/>
            <w:shd w:val="clear" w:color="auto" w:fill="auto"/>
            <w:vAlign w:val="center"/>
          </w:tcPr>
          <w:p>
            <w:pPr>
              <w:jc w:val="center"/>
              <w:rPr>
                <w:lang w:val="en-US"/>
              </w:rPr>
            </w:pPr>
            <w:r>
              <w:rPr>
                <w:lang w:val="en-US"/>
              </w:rPr>
              <w:t>-0.52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木构(A绿建 - 副本\A绿建 - 副本\木构斯维尔建模用2007-节能处理版 - 室内通风)</w:t>
            </w:r>
          </w:p>
        </w:tc>
        <w:tc>
          <w:tcPr>
            <w:tcW w:w="1276" w:type="dxa"/>
            <w:shd w:val="clear" w:color="auto" w:fill="auto"/>
            <w:vAlign w:val="center"/>
          </w:tcPr>
          <w:p>
            <w:pPr>
              <w:jc w:val="center"/>
              <w:rPr>
                <w:lang w:val="en-US"/>
              </w:rPr>
            </w:pPr>
            <w:r>
              <w:rPr>
                <w:lang w:val="en-US"/>
              </w:rPr>
              <w:t>-0.96</w:t>
            </w:r>
          </w:p>
        </w:tc>
        <w:tc>
          <w:tcPr>
            <w:tcW w:w="1276" w:type="dxa"/>
            <w:shd w:val="clear" w:color="auto" w:fill="auto"/>
            <w:vAlign w:val="center"/>
          </w:tcPr>
          <w:p>
            <w:pPr>
              <w:jc w:val="center"/>
              <w:rPr>
                <w:lang w:val="en-US"/>
              </w:rPr>
            </w:pPr>
            <w:r>
              <w:rPr>
                <w:lang w:val="en-US"/>
              </w:rPr>
              <w:t>-0.97</w:t>
            </w:r>
          </w:p>
        </w:tc>
        <w:tc>
          <w:tcPr>
            <w:tcW w:w="1701" w:type="dxa"/>
            <w:shd w:val="clear" w:color="auto" w:fill="auto"/>
            <w:vAlign w:val="center"/>
          </w:tcPr>
          <w:p>
            <w:pPr>
              <w:jc w:val="center"/>
              <w:rPr>
                <w:lang w:val="en-US"/>
              </w:rPr>
            </w:pPr>
            <w:r>
              <w:rPr>
                <w:lang w:val="en-US"/>
              </w:rPr>
              <w:t>0.01</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其他建筑1</w:t>
            </w:r>
          </w:p>
        </w:tc>
        <w:tc>
          <w:tcPr>
            <w:tcW w:w="1276" w:type="dxa"/>
            <w:shd w:val="clear" w:color="auto" w:fill="auto"/>
            <w:vAlign w:val="center"/>
          </w:tcPr>
          <w:p>
            <w:pPr>
              <w:jc w:val="center"/>
              <w:rPr>
                <w:lang w:val="en-US"/>
              </w:rPr>
            </w:pPr>
            <w:r>
              <w:rPr>
                <w:lang w:val="en-US"/>
              </w:rPr>
              <w:t>-0.93</w:t>
            </w:r>
          </w:p>
        </w:tc>
        <w:tc>
          <w:tcPr>
            <w:tcW w:w="1276" w:type="dxa"/>
            <w:shd w:val="clear" w:color="auto" w:fill="auto"/>
            <w:vAlign w:val="center"/>
          </w:tcPr>
          <w:p>
            <w:pPr>
              <w:jc w:val="center"/>
              <w:rPr>
                <w:lang w:val="en-US"/>
              </w:rPr>
            </w:pPr>
            <w:r>
              <w:rPr>
                <w:lang w:val="en-US"/>
              </w:rPr>
              <w:t>-1.11</w:t>
            </w:r>
          </w:p>
        </w:tc>
        <w:tc>
          <w:tcPr>
            <w:tcW w:w="1701" w:type="dxa"/>
            <w:shd w:val="clear" w:color="auto" w:fill="auto"/>
            <w:vAlign w:val="center"/>
          </w:tcPr>
          <w:p>
            <w:pPr>
              <w:jc w:val="center"/>
              <w:rPr>
                <w:lang w:val="en-US"/>
              </w:rPr>
            </w:pPr>
            <w:r>
              <w:rPr>
                <w:lang w:val="en-US"/>
              </w:rPr>
              <w:t>0.18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其他建筑2</w:t>
            </w:r>
          </w:p>
        </w:tc>
        <w:tc>
          <w:tcPr>
            <w:tcW w:w="1276" w:type="dxa"/>
            <w:shd w:val="clear" w:color="auto" w:fill="auto"/>
            <w:vAlign w:val="center"/>
          </w:tcPr>
          <w:p>
            <w:pPr>
              <w:jc w:val="center"/>
              <w:rPr>
                <w:lang w:val="en-US"/>
              </w:rPr>
            </w:pPr>
            <w:r>
              <w:rPr>
                <w:lang w:val="en-US"/>
              </w:rPr>
              <w:t>-0.65</w:t>
            </w:r>
          </w:p>
        </w:tc>
        <w:tc>
          <w:tcPr>
            <w:tcW w:w="1276" w:type="dxa"/>
            <w:shd w:val="clear" w:color="auto" w:fill="auto"/>
            <w:vAlign w:val="center"/>
          </w:tcPr>
          <w:p>
            <w:pPr>
              <w:jc w:val="center"/>
              <w:rPr>
                <w:lang w:val="en-US"/>
              </w:rPr>
            </w:pPr>
            <w:r>
              <w:rPr>
                <w:lang w:val="en-US"/>
              </w:rPr>
              <w:t>-1.05</w:t>
            </w:r>
          </w:p>
        </w:tc>
        <w:tc>
          <w:tcPr>
            <w:tcW w:w="1701" w:type="dxa"/>
            <w:shd w:val="clear" w:color="auto" w:fill="auto"/>
            <w:vAlign w:val="center"/>
          </w:tcPr>
          <w:p>
            <w:pPr>
              <w:jc w:val="center"/>
              <w:rPr>
                <w:lang w:val="en-US"/>
              </w:rPr>
            </w:pPr>
            <w:r>
              <w:rPr>
                <w:lang w:val="en-US"/>
              </w:rPr>
              <w:t>0.40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其他建筑3</w:t>
            </w:r>
          </w:p>
        </w:tc>
        <w:tc>
          <w:tcPr>
            <w:tcW w:w="1276" w:type="dxa"/>
            <w:shd w:val="clear" w:color="auto" w:fill="auto"/>
            <w:vAlign w:val="center"/>
          </w:tcPr>
          <w:p>
            <w:pPr>
              <w:jc w:val="center"/>
              <w:rPr>
                <w:lang w:val="en-US"/>
              </w:rPr>
            </w:pPr>
            <w:r>
              <w:rPr>
                <w:lang w:val="en-US"/>
              </w:rPr>
              <w:t>-0.92</w:t>
            </w:r>
          </w:p>
        </w:tc>
        <w:tc>
          <w:tcPr>
            <w:tcW w:w="1276" w:type="dxa"/>
            <w:shd w:val="clear" w:color="auto" w:fill="auto"/>
            <w:vAlign w:val="center"/>
          </w:tcPr>
          <w:p>
            <w:pPr>
              <w:jc w:val="center"/>
              <w:rPr>
                <w:lang w:val="en-US"/>
              </w:rPr>
            </w:pPr>
            <w:r>
              <w:rPr>
                <w:lang w:val="en-US"/>
              </w:rPr>
              <w:t>-1.13</w:t>
            </w:r>
          </w:p>
        </w:tc>
        <w:tc>
          <w:tcPr>
            <w:tcW w:w="1701" w:type="dxa"/>
            <w:shd w:val="clear" w:color="auto" w:fill="auto"/>
            <w:vAlign w:val="center"/>
          </w:tcPr>
          <w:p>
            <w:pPr>
              <w:jc w:val="center"/>
              <w:rPr>
                <w:lang w:val="en-US"/>
              </w:rPr>
            </w:pPr>
            <w:r>
              <w:rPr>
                <w:lang w:val="en-US"/>
              </w:rPr>
              <w:t>0.21</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其他建筑4</w:t>
            </w:r>
          </w:p>
        </w:tc>
        <w:tc>
          <w:tcPr>
            <w:tcW w:w="1276" w:type="dxa"/>
            <w:shd w:val="clear" w:color="auto" w:fill="auto"/>
            <w:vAlign w:val="center"/>
          </w:tcPr>
          <w:p>
            <w:pPr>
              <w:jc w:val="center"/>
              <w:rPr>
                <w:lang w:val="en-US"/>
              </w:rPr>
            </w:pPr>
            <w:r>
              <w:rPr>
                <w:lang w:val="en-US"/>
              </w:rPr>
              <w:t>-0.49</w:t>
            </w:r>
          </w:p>
        </w:tc>
        <w:tc>
          <w:tcPr>
            <w:tcW w:w="1276" w:type="dxa"/>
            <w:shd w:val="clear" w:color="auto" w:fill="auto"/>
            <w:vAlign w:val="center"/>
          </w:tcPr>
          <w:p>
            <w:pPr>
              <w:jc w:val="center"/>
              <w:rPr>
                <w:lang w:val="en-US"/>
              </w:rPr>
            </w:pPr>
            <w:r>
              <w:rPr>
                <w:lang w:val="en-US"/>
              </w:rPr>
              <w:t>-0.47</w:t>
            </w:r>
          </w:p>
        </w:tc>
        <w:tc>
          <w:tcPr>
            <w:tcW w:w="1701" w:type="dxa"/>
            <w:shd w:val="clear" w:color="auto" w:fill="auto"/>
            <w:vAlign w:val="center"/>
          </w:tcPr>
          <w:p>
            <w:pPr>
              <w:jc w:val="center"/>
              <w:rPr>
                <w:lang w:val="en-US"/>
              </w:rPr>
            </w:pPr>
            <w:r>
              <w:rPr>
                <w:lang w:val="en-US"/>
              </w:rPr>
              <w:t>-0.02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砖混建筑(砖混建模用2007)</w:t>
            </w:r>
          </w:p>
        </w:tc>
        <w:tc>
          <w:tcPr>
            <w:tcW w:w="1276" w:type="dxa"/>
            <w:shd w:val="clear" w:color="auto" w:fill="auto"/>
            <w:vAlign w:val="center"/>
          </w:tcPr>
          <w:p>
            <w:pPr>
              <w:jc w:val="center"/>
              <w:rPr>
                <w:lang w:val="en-US"/>
              </w:rPr>
            </w:pPr>
            <w:r>
              <w:rPr>
                <w:lang w:val="en-US"/>
              </w:rPr>
              <w:t>-1.70</w:t>
            </w:r>
          </w:p>
        </w:tc>
        <w:tc>
          <w:tcPr>
            <w:tcW w:w="1276" w:type="dxa"/>
            <w:shd w:val="clear" w:color="auto" w:fill="auto"/>
            <w:vAlign w:val="center"/>
          </w:tcPr>
          <w:p>
            <w:pPr>
              <w:jc w:val="center"/>
              <w:rPr>
                <w:lang w:val="en-US"/>
              </w:rPr>
            </w:pPr>
            <w:r>
              <w:rPr>
                <w:lang w:val="en-US"/>
              </w:rPr>
              <w:t>-2.45</w:t>
            </w:r>
          </w:p>
        </w:tc>
        <w:tc>
          <w:tcPr>
            <w:tcW w:w="1701" w:type="dxa"/>
            <w:shd w:val="clear" w:color="auto" w:fill="auto"/>
            <w:vAlign w:val="center"/>
          </w:tcPr>
          <w:p>
            <w:pPr>
              <w:jc w:val="center"/>
              <w:rPr>
                <w:lang w:val="en-US"/>
              </w:rPr>
            </w:pPr>
            <w:r>
              <w:rPr>
                <w:lang w:val="en-US"/>
              </w:rPr>
              <w:t>0.75</w:t>
            </w:r>
          </w:p>
        </w:tc>
        <w:tc>
          <w:tcPr>
            <w:tcW w:w="973" w:type="dxa"/>
            <w:shd w:val="clear" w:color="auto" w:fill="auto"/>
            <w:vAlign w:val="center"/>
          </w:tcPr>
          <w:p>
            <w:pPr>
              <w:jc w:val="center"/>
              <w:rPr>
                <w:lang w:val="en-US"/>
              </w:rPr>
            </w:pPr>
            <w:r>
              <w:rPr>
                <w:lang w:val="en-US"/>
              </w:rPr>
              <w:t>是</w:t>
            </w:r>
          </w:p>
        </w:tc>
      </w:tr>
      <w:bookmarkEnd w:id="117"/>
    </w:tbl>
    <w:p>
      <w:pPr>
        <w:rPr>
          <w:lang w:val="en-US"/>
        </w:rPr>
      </w:pPr>
      <w:bookmarkStart w:id="118" w:name="建筑迎风和背风面风压差结论汇总结论"/>
      <w:bookmarkEnd w:id="118"/>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19" w:name="冬季工况"/>
      <w:bookmarkEnd w:id="119"/>
      <w:r>
        <w:rPr>
          <w:rFonts w:hint="eastAsia"/>
          <w:lang w:val="en-US"/>
        </w:rPr>
        <w:t xml:space="preserve"> </w:t>
      </w:r>
    </w:p>
    <w:p>
      <w:pPr>
        <w:rPr>
          <w:lang w:val="en-US"/>
        </w:rPr>
      </w:pPr>
      <w:bookmarkStart w:id="120" w:name="其他工况"/>
      <w:bookmarkEnd w:id="120"/>
      <w:r>
        <w:rPr>
          <w:rFonts w:hint="eastAsia"/>
          <w:lang w:val="en-US"/>
        </w:rPr>
        <w:t xml:space="preserve"> </w:t>
      </w:r>
    </w:p>
    <w:p>
      <w:pPr>
        <w:pStyle w:val="4"/>
      </w:pPr>
      <w:bookmarkStart w:id="121" w:name="_Toc509844764"/>
      <w:bookmarkStart w:id="122" w:name="_Toc155279544"/>
      <w:r>
        <w:rPr>
          <w:rFonts w:hint="eastAsia"/>
        </w:rPr>
        <w:t>结论</w:t>
      </w:r>
      <w:bookmarkEnd w:id="121"/>
      <w:bookmarkEnd w:id="122"/>
    </w:p>
    <w:p>
      <w:pPr>
        <w:pStyle w:val="5"/>
      </w:pPr>
      <w:bookmarkStart w:id="123" w:name="_Toc155279545"/>
      <w:bookmarkStart w:id="124" w:name="_Toc509844765"/>
      <w:r>
        <w:rPr>
          <w:rFonts w:hint="eastAsia"/>
        </w:rPr>
        <w:t>冬季工况达标判断</w:t>
      </w:r>
      <w:bookmarkEnd w:id="123"/>
      <w:bookmarkEnd w:id="124"/>
      <w:bookmarkStart w:id="125" w:name="_Toc509844766"/>
      <w:bookmarkEnd w:id="12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6" w:name="标准要求冬季风速得分"/>
            <w:r>
              <w:rPr>
                <w:rFonts w:hint="eastAsia"/>
                <w:lang w:val="en-US"/>
              </w:rPr>
              <w:t>3</w:t>
            </w:r>
            <w:bookmarkEnd w:id="126"/>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27" w:name="冬季风速结果所有文字"/>
            <w:r>
              <w:rPr>
                <w:rFonts w:hint="eastAsia"/>
                <w:lang w:val="en-US"/>
              </w:rPr>
              <w:t>人行区</w:t>
            </w:r>
            <w:bookmarkStart w:id="128" w:name="冬季风速结果"/>
            <w:r>
              <w:t>没有出现</w:t>
            </w:r>
            <w:bookmarkEnd w:id="128"/>
            <w:r>
              <w:rPr>
                <w:rFonts w:hint="eastAsia"/>
                <w:lang w:val="en-US"/>
              </w:rPr>
              <w:t>风速大于</w:t>
            </w:r>
            <w:r>
              <w:rPr>
                <w:lang w:val="en-US"/>
              </w:rPr>
              <w:t>5m/s</w:t>
            </w:r>
            <w:r>
              <w:rPr>
                <w:rFonts w:hint="eastAsia"/>
                <w:lang w:val="en-US"/>
              </w:rPr>
              <w:t>的区域，户外休息区、儿童娱乐区</w:t>
            </w:r>
            <w:bookmarkStart w:id="129" w:name="冬季风速结果2"/>
            <w:r>
              <w:rPr>
                <w:color w:val="FF0000"/>
              </w:rPr>
              <w:t>出现</w:t>
            </w:r>
            <w:bookmarkEnd w:id="129"/>
            <w:r>
              <w:rPr>
                <w:rFonts w:hint="eastAsia"/>
                <w:lang w:val="en-US"/>
              </w:rPr>
              <w:t>风速大于2m/s的区域</w:t>
            </w:r>
            <w:bookmarkEnd w:id="127"/>
          </w:p>
        </w:tc>
        <w:tc>
          <w:tcPr>
            <w:tcW w:w="1985" w:type="dxa"/>
            <w:vMerge w:val="restart"/>
            <w:tcBorders>
              <w:top w:val="single" w:color="auto" w:sz="4" w:space="0"/>
            </w:tcBorders>
            <w:shd w:val="clear" w:color="auto" w:fill="auto"/>
            <w:vAlign w:val="center"/>
          </w:tcPr>
          <w:p>
            <w:pPr>
              <w:jc w:val="center"/>
              <w:rPr>
                <w:b/>
                <w:lang w:val="en-US"/>
              </w:rPr>
            </w:pPr>
            <w:bookmarkStart w:id="130" w:name="冬季风速达标判定"/>
            <w:r>
              <w:rPr>
                <w:rFonts w:hint="eastAsia"/>
                <w:b/>
                <w:color w:val="FF0000"/>
                <w:lang w:val="en-US"/>
              </w:rPr>
              <w:t>不达标</w:t>
            </w:r>
            <w:bookmarkEnd w:id="130"/>
          </w:p>
        </w:tc>
        <w:tc>
          <w:tcPr>
            <w:tcW w:w="1416" w:type="dxa"/>
            <w:vMerge w:val="restart"/>
            <w:tcBorders>
              <w:top w:val="single" w:color="auto" w:sz="4" w:space="0"/>
            </w:tcBorders>
            <w:shd w:val="clear" w:color="auto" w:fill="auto"/>
            <w:vAlign w:val="center"/>
          </w:tcPr>
          <w:p>
            <w:pPr>
              <w:jc w:val="center"/>
              <w:rPr>
                <w:lang w:val="en-US"/>
              </w:rPr>
            </w:pPr>
            <w:bookmarkStart w:id="131" w:name="冬季风速得分"/>
            <w:r>
              <w:rPr>
                <w:rFonts w:hint="eastAsia"/>
                <w:lang w:val="en-US"/>
              </w:rPr>
              <w:t>0</w:t>
            </w:r>
            <w:bookmarkEnd w:id="131"/>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32" w:name="冬季风速放大系数结果所有文字"/>
            <w:r>
              <w:rPr>
                <w:rFonts w:hint="eastAsia"/>
                <w:lang w:val="en-US"/>
              </w:rPr>
              <w:t>人行区</w:t>
            </w:r>
            <w:bookmarkStart w:id="133" w:name="冬季风速放大系数结果人行区"/>
            <w:bookmarkEnd w:id="133"/>
            <w:r>
              <w:rPr>
                <w:rFonts w:hint="eastAsia"/>
                <w:lang w:val="en-US"/>
              </w:rPr>
              <w:t>、户外休息区</w:t>
            </w:r>
            <w:r>
              <w:rPr>
                <w:lang w:val="en-US"/>
              </w:rPr>
              <w:t>、</w:t>
            </w:r>
            <w:r>
              <w:rPr>
                <w:rFonts w:hint="eastAsia"/>
                <w:lang w:val="en-US"/>
              </w:rPr>
              <w:t>儿童娱乐区</w:t>
            </w:r>
            <w:bookmarkStart w:id="134" w:name="冬季风速放大系数结果休息区"/>
            <w:r>
              <w:t>没有出现</w:t>
            </w:r>
            <w:bookmarkEnd w:id="134"/>
            <w:r>
              <w:rPr>
                <w:rFonts w:hint="eastAsia"/>
                <w:lang w:val="en-US"/>
              </w:rPr>
              <w:t>风速放大系数大于等于2的区域</w:t>
            </w:r>
            <w:bookmarkEnd w:id="132"/>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35" w:name="标准要求冬季风压得分"/>
            <w:r>
              <w:rPr>
                <w:rFonts w:hint="eastAsia"/>
                <w:lang w:val="en-US"/>
              </w:rPr>
              <w:t>2</w:t>
            </w:r>
            <w:bookmarkEnd w:id="135"/>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36" w:name="冬季迎背风面结果"/>
            <w:r>
              <w:t>没有出现</w:t>
            </w:r>
            <w:bookmarkEnd w:id="13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37" w:name="冬季迎背风面达标判定"/>
            <w:r>
              <w:rPr>
                <w:rFonts w:hint="eastAsia"/>
                <w:b/>
                <w:lang w:val="en-US"/>
              </w:rPr>
              <w:t>达标</w:t>
            </w:r>
            <w:bookmarkEnd w:id="137"/>
          </w:p>
        </w:tc>
        <w:tc>
          <w:tcPr>
            <w:tcW w:w="1416" w:type="dxa"/>
            <w:shd w:val="clear" w:color="auto" w:fill="auto"/>
            <w:vAlign w:val="center"/>
          </w:tcPr>
          <w:p>
            <w:pPr>
              <w:jc w:val="center"/>
              <w:rPr>
                <w:lang w:val="en-US"/>
              </w:rPr>
            </w:pPr>
            <w:bookmarkStart w:id="138" w:name="冬季迎背风面得分"/>
            <w:r>
              <w:rPr>
                <w:rFonts w:hint="eastAsia"/>
                <w:lang w:val="en-US"/>
              </w:rPr>
              <w:t>2</w:t>
            </w:r>
            <w:bookmarkEnd w:id="138"/>
            <w:r>
              <w:rPr>
                <w:rFonts w:hint="eastAsia"/>
                <w:lang w:val="en-US"/>
              </w:rPr>
              <w:t>分</w:t>
            </w:r>
          </w:p>
        </w:tc>
      </w:tr>
    </w:tbl>
    <w:p>
      <w:pPr>
        <w:rPr>
          <w:szCs w:val="21"/>
          <w:lang w:val="en-US"/>
        </w:rPr>
      </w:pPr>
      <w:bookmarkStart w:id="139" w:name="_Toc509844767"/>
      <w:bookmarkEnd w:id="139"/>
      <w:bookmarkStart w:id="140" w:name="_Toc509844768"/>
      <w:bookmarkEnd w:id="140"/>
    </w:p>
    <w:p>
      <w:pPr>
        <w:pStyle w:val="3"/>
        <w:ind w:firstLine="0" w:firstLineChars="0"/>
        <w:rPr>
          <w:lang w:val="en-US"/>
        </w:rPr>
      </w:pPr>
      <w:r>
        <w:rPr>
          <w:rFonts w:hint="eastAsia"/>
          <w:lang w:val="en-US"/>
        </w:rPr>
        <w:t>综合上述达标判断详表的信息，可知本项目得分为</w:t>
      </w:r>
      <w:bookmarkStart w:id="141" w:name="总得分"/>
      <w:r>
        <w:rPr>
          <w:rFonts w:hint="eastAsia"/>
          <w:lang w:val="en-US"/>
        </w:rPr>
        <w:t>2</w:t>
      </w:r>
      <w:bookmarkEnd w:id="14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5OTVhYzIwYTU2Y2E5YjAwMjZkNWFhMGUxYWRiM2EifQ=="/>
  </w:docVars>
  <w:rsids>
    <w:rsidRoot w:val="009345F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71232"/>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345F3"/>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053E8"/>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33B170C3"/>
    <w:rsid w:val="5DFD6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tmp2</Template>
  <Company>ths</Company>
  <Pages>20</Pages>
  <Words>1502</Words>
  <Characters>8567</Characters>
  <Lines>71</Lines>
  <Paragraphs>20</Paragraphs>
  <TotalTime>0</TotalTime>
  <ScaleCrop>false</ScaleCrop>
  <LinksUpToDate>false</LinksUpToDate>
  <CharactersWithSpaces>10049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2024-01-04T08:51:00Z</dcterms:created>
  <dc:creator>陈天良</dc:creator>
  <cp:lastModifiedBy>神马良</cp:lastModifiedBy>
  <cp:lastPrinted>1900-12-31T16:00:00Z</cp:lastPrinted>
  <dcterms:modified xsi:type="dcterms:W3CDTF">2024-01-04T09:30:20Z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833D0B24B62846DDA09B396AB7E6F316_12</vt:lpwstr>
  </property>
</Properties>
</file>