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照明计算书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rFonts w:hint="eastAsia"/>
          <w:sz w:val="28"/>
          <w:szCs w:val="28"/>
        </w:rPr>
        <w:t>项目概述</w:t>
      </w:r>
    </w:p>
    <w:tbl>
      <w:tblPr>
        <w:tblStyle w:val="3"/>
        <w:tblpPr w:leftFromText="180" w:rightFromText="180" w:vertAnchor="text" w:horzAnchor="margin" w:tblpY="233"/>
        <w:tblW w:w="4885" w:type="pct"/>
        <w:tblInd w:w="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463"/>
        <w:gridCol w:w="1660"/>
        <w:gridCol w:w="1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shd w:val="clear" w:color="auto" w:fill="E6E6E6"/>
            <w:noWrap w:val="0"/>
            <w:vAlign w:val="top"/>
          </w:tcPr>
          <w:p>
            <w:pPr>
              <w:pStyle w:val="2"/>
              <w:spacing w:line="360" w:lineRule="exact"/>
              <w:rPr>
                <w:lang w:val="en-US"/>
              </w:rPr>
            </w:pPr>
            <w:r>
              <w:rPr>
                <w:lang w:val="en-US"/>
              </w:rPr>
              <w:t>项目所在地</w:t>
            </w:r>
          </w:p>
        </w:tc>
        <w:tc>
          <w:tcPr>
            <w:tcW w:w="6447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/>
                <w:sz w:val="18"/>
                <w:szCs w:val="18"/>
                <w:lang w:val="en-US"/>
              </w:rPr>
            </w:pPr>
            <w:bookmarkStart w:id="0" w:name="项目地点"/>
            <w:r>
              <w:t>南昌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shd w:val="clear" w:color="auto" w:fill="E6E6E6"/>
            <w:noWrap w:val="0"/>
            <w:vAlign w:val="top"/>
          </w:tcPr>
          <w:p>
            <w:pPr>
              <w:pStyle w:val="2"/>
              <w:spacing w:line="360" w:lineRule="exac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" w:name="光气候分区"/>
            <w:r>
              <w:t>IV</w:t>
            </w:r>
            <w:bookmarkEnd w:id="1"/>
          </w:p>
        </w:tc>
        <w:tc>
          <w:tcPr>
            <w:tcW w:w="1757" w:type="dxa"/>
            <w:shd w:val="clear" w:color="auto" w:fill="E0E0E0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pStyle w:val="2"/>
              <w:rPr>
                <w:rFonts w:ascii="宋体" w:hAnsi="宋体"/>
                <w:sz w:val="18"/>
                <w:szCs w:val="18"/>
                <w:lang w:val="en-US"/>
              </w:rPr>
            </w:pPr>
            <w:bookmarkStart w:id="2" w:name="光气候系数K"/>
            <w:r>
              <w:t>1.10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shd w:val="clear" w:color="auto" w:fill="E6E6E6"/>
            <w:noWrap w:val="0"/>
            <w:vAlign w:val="top"/>
          </w:tcPr>
          <w:p>
            <w:pPr>
              <w:pStyle w:val="2"/>
              <w:spacing w:line="360" w:lineRule="exac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447" w:type="dxa"/>
            <w:gridSpan w:val="3"/>
            <w:noWrap w:val="0"/>
            <w:vAlign w:val="center"/>
          </w:tcPr>
          <w:p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 xml:space="preserve">地上  </w:t>
            </w:r>
            <w:bookmarkStart w:id="3" w:name="地上建筑面积"/>
            <w:r>
              <w:t>24386.12</w:t>
            </w:r>
            <w:bookmarkEnd w:id="3"/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  <w:lang w:val="en-US"/>
              </w:rPr>
              <w:t xml:space="preserve">    地下  </w:t>
            </w:r>
            <w:bookmarkStart w:id="4" w:name="地下建筑面积"/>
            <w:r>
              <w:t>0.00</w:t>
            </w:r>
            <w:bookmarkEnd w:id="4"/>
            <w:r>
              <w:rPr>
                <w:rFonts w:hint="eastAsia"/>
                <w:sz w:val="18"/>
                <w:szCs w:val="18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shd w:val="clear" w:color="auto" w:fill="E6E6E6"/>
            <w:noWrap w:val="0"/>
            <w:vAlign w:val="top"/>
          </w:tcPr>
          <w:p>
            <w:pPr>
              <w:pStyle w:val="2"/>
              <w:spacing w:line="360" w:lineRule="exac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447" w:type="dxa"/>
            <w:gridSpan w:val="3"/>
            <w:noWrap w:val="0"/>
            <w:vAlign w:val="center"/>
          </w:tcPr>
          <w:p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 xml:space="preserve">地上  </w:t>
            </w:r>
            <w:bookmarkStart w:id="5" w:name="地上建筑层数"/>
            <w:r>
              <w:t>6</w:t>
            </w:r>
            <w:bookmarkEnd w:id="5"/>
            <w:r>
              <w:rPr>
                <w:rFonts w:hint="eastAsia"/>
                <w:sz w:val="18"/>
                <w:szCs w:val="18"/>
                <w:lang w:val="en-US"/>
              </w:rPr>
              <w:t xml:space="preserve">          地下</w:t>
            </w:r>
            <w:bookmarkStart w:id="6" w:name="地下建筑层数"/>
            <w:r>
              <w:t>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shd w:val="clear" w:color="auto" w:fill="E6E6E6"/>
            <w:noWrap w:val="0"/>
            <w:vAlign w:val="top"/>
          </w:tcPr>
          <w:p>
            <w:pPr>
              <w:pStyle w:val="2"/>
              <w:spacing w:line="360" w:lineRule="exac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447" w:type="dxa"/>
            <w:gridSpan w:val="3"/>
            <w:noWrap w:val="0"/>
            <w:vAlign w:val="center"/>
          </w:tcPr>
          <w:p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 xml:space="preserve">地上 </w:t>
            </w:r>
            <w:bookmarkStart w:id="7" w:name="地上建筑高度"/>
            <w:r>
              <w:t>27.80</w:t>
            </w:r>
            <w:bookmarkEnd w:id="7"/>
            <w:r>
              <w:rPr>
                <w:rFonts w:hint="eastAsia"/>
                <w:sz w:val="18"/>
                <w:szCs w:val="18"/>
                <w:lang w:val="en-US"/>
              </w:rPr>
              <w:t xml:space="preserve"> m     地下  </w:t>
            </w:r>
            <w:bookmarkStart w:id="8" w:name="地下建筑高度"/>
            <w:r>
              <w:t>0.00</w:t>
            </w:r>
            <w:bookmarkEnd w:id="8"/>
            <w:r>
              <w:rPr>
                <w:rFonts w:hint="eastAsia"/>
                <w:sz w:val="18"/>
                <w:szCs w:val="18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shd w:val="clear" w:color="auto" w:fill="E6E6E6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用途</w:t>
            </w:r>
          </w:p>
        </w:tc>
        <w:tc>
          <w:tcPr>
            <w:tcW w:w="6447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bookmarkStart w:id="9" w:name="备注"/>
            <w:bookmarkEnd w:id="9"/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用于学习以及教学等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11" w:name="_GoBack"/>
      <w:bookmarkEnd w:id="1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设计标准和要求</w:t>
      </w:r>
    </w:p>
    <w:p>
      <w:pPr>
        <w:pStyle w:val="2"/>
        <w:spacing w:line="360" w:lineRule="exact"/>
        <w:ind w:left="840" w:hanging="42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建筑采光设计标准》(</w:t>
      </w:r>
      <w:bookmarkStart w:id="10" w:name="采光标准"/>
      <w:r>
        <w:rPr>
          <w:rFonts w:hint="eastAsia" w:ascii="宋体" w:hAnsi="宋体" w:eastAsia="宋体" w:cs="宋体"/>
          <w:sz w:val="28"/>
          <w:szCs w:val="28"/>
        </w:rPr>
        <w:t>GB50033-2013</w:t>
      </w:r>
      <w:bookmarkEnd w:id="10"/>
      <w:r>
        <w:rPr>
          <w:rFonts w:hint="eastAsia" w:ascii="宋体" w:hAnsi="宋体" w:eastAsia="宋体" w:cs="宋体"/>
          <w:sz w:val="28"/>
          <w:szCs w:val="28"/>
          <w:lang w:val="en-US"/>
        </w:rPr>
        <w:t xml:space="preserve">) </w:t>
      </w:r>
    </w:p>
    <w:p>
      <w:pPr>
        <w:pStyle w:val="2"/>
        <w:spacing w:line="360" w:lineRule="exact"/>
        <w:ind w:left="840" w:hanging="42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建筑环境通用规范》GB 55016-2021</w:t>
      </w:r>
    </w:p>
    <w:p>
      <w:pPr>
        <w:pStyle w:val="2"/>
        <w:numPr>
          <w:numId w:val="0"/>
        </w:numPr>
        <w:spacing w:line="3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numPr>
          <w:numId w:val="0"/>
        </w:numPr>
        <w:spacing w:line="3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三、预期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基本上采用原建筑线路，将耗电较高的灯具更换成LED灯具，降低能耗。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室内照明设计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对室内各功能区域的照明需求进行分析，如公共区域、办公区域、会议室、厨房等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根据功能需求和设计标准，确定各区域的照明布局、灯具类型、光源选择等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进行照明计算，包括光度计算、照度计算、光源配光计算等，确保照明效果符合设计要求。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室外照明设计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对建筑外立面、入口、停车场等区域的照明需求进行分析，包括安全照明、景观照明等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根据功能需求和设计标准，确定室外照明的布局、灯具类型、灯光色温等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进行室外照明计算，考虑光污染、节能等因素，确保照明效果符合设计要求。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审查和验收：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预期</w:t>
      </w:r>
      <w:r>
        <w:rPr>
          <w:rFonts w:hint="eastAsia" w:ascii="宋体" w:hAnsi="宋体" w:eastAsia="宋体" w:cs="宋体"/>
          <w:sz w:val="28"/>
          <w:szCs w:val="28"/>
        </w:rPr>
        <w:t>照明设计方案进行审查，确保设计符合相关标准和要求。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进行照明系统的验收，检查安装质量和照明效果，确保达到设计要求。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546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2024-03-06T08:13:01Z</dcterms:created>
  <dc:creator>xx</dc:creator>
  <cp:lastModifiedBy>薛翔</cp:lastModifiedBy>
  <dcterms:modified xsi:type="dcterms:W3CDTF">2024-03-06T08:23:43Z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77A7F6D5473746299A3B2E3512DDB1EA_12</vt:lpwstr>
  </property>
</Properties>
</file>