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宋体"/>
          <w:kern w:val="0"/>
          <w:sz w:val="24"/>
          <w:szCs w:val="24"/>
        </w:rPr>
        <w:id w:val="64697543"/>
      </w:sdtPr>
      <w:sdtEndPr>
        <w:rPr>
          <w:rFonts w:ascii="Times New Roman" w:hAnsi="Times New Roman" w:cs="Times New Roman" w:eastAsiaTheme="minorEastAsia"/>
          <w:kern w:val="0"/>
          <w:sz w:val="24"/>
          <w:szCs w:val="24"/>
        </w:rPr>
      </w:sdtEndPr>
      <w:sdtContent>
        <w:p>
          <w:pPr>
            <w:spacing w:before="234"/>
            <w:ind w:left="790" w:right="790"/>
            <w:jc w:val="center"/>
            <w:rPr>
              <w:rFonts w:ascii="宋体" w:hAnsi="宋体" w:eastAsia="宋体"/>
            </w:rPr>
          </w:pPr>
        </w:p>
        <w:p>
          <w:pPr>
            <w:pStyle w:val="4"/>
            <w:keepNext w:val="0"/>
            <w:keepLines w:val="0"/>
            <w:widowControl/>
            <w:suppressLineNumbers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pBdr>
            <w:shd w:val="clear" w:fill="FFFFFF"/>
            <w:spacing w:before="0" w:beforeAutospacing="0" w:after="336" w:afterAutospacing="0" w:line="336" w:lineRule="atLeast"/>
            <w:ind w:left="0" w:right="0" w:firstLine="360" w:firstLineChars="100"/>
            <w:rPr>
              <w:rFonts w:hint="eastAsia" w:asciiTheme="majorEastAsia" w:hAnsiTheme="majorEastAsia" w:eastAsiaTheme="majorEastAsia" w:cstheme="majorEastAsia"/>
              <w:b w:val="0"/>
              <w:bCs w:val="0"/>
              <w:i w:val="0"/>
              <w:iCs w:val="0"/>
              <w:caps w:val="0"/>
              <w:color w:val="333333"/>
              <w:spacing w:val="0"/>
              <w:sz w:val="36"/>
              <w:szCs w:val="36"/>
              <w:shd w:val="clear" w:fill="FFFFFF"/>
            </w:rPr>
          </w:pPr>
        </w:p>
        <w:p>
          <w:pPr>
            <w:pStyle w:val="4"/>
            <w:keepNext w:val="0"/>
            <w:keepLines w:val="0"/>
            <w:widowControl/>
            <w:suppressLineNumbers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pBdr>
            <w:shd w:val="clear" w:fill="FFFFFF"/>
            <w:spacing w:before="0" w:beforeAutospacing="0" w:after="336" w:afterAutospacing="0" w:line="336" w:lineRule="atLeast"/>
            <w:ind w:left="0" w:right="0" w:firstLine="482" w:firstLineChars="100"/>
            <w:jc w:val="center"/>
            <w:rPr>
              <w:rFonts w:hint="eastAsia" w:ascii="黑体" w:hAnsi="黑体" w:eastAsia="黑体" w:cs="黑体"/>
              <w:b/>
              <w:bCs/>
              <w:i w:val="0"/>
              <w:iCs w:val="0"/>
              <w:caps w:val="0"/>
              <w:color w:val="333333"/>
              <w:spacing w:val="0"/>
              <w:sz w:val="48"/>
              <w:szCs w:val="48"/>
              <w:shd w:val="clear" w:fill="FFFFFF"/>
            </w:rPr>
          </w:pPr>
        </w:p>
        <w:p>
          <w:pPr>
            <w:pStyle w:val="4"/>
            <w:keepNext w:val="0"/>
            <w:keepLines w:val="0"/>
            <w:widowControl/>
            <w:suppressLineNumbers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pBdr>
            <w:shd w:val="clear" w:fill="FFFFFF"/>
            <w:spacing w:before="0" w:beforeAutospacing="0" w:after="336" w:afterAutospacing="0" w:line="336" w:lineRule="atLeast"/>
            <w:ind w:left="0" w:right="0" w:firstLine="482" w:firstLineChars="100"/>
            <w:jc w:val="center"/>
            <w:rPr>
              <w:rFonts w:hint="eastAsia" w:ascii="黑体" w:hAnsi="黑体" w:eastAsia="黑体" w:cs="黑体"/>
              <w:b/>
              <w:bCs/>
              <w:sz w:val="48"/>
              <w:szCs w:val="48"/>
            </w:rPr>
          </w:pPr>
          <w:r>
            <w:rPr>
              <w:rFonts w:hint="eastAsia" w:ascii="黑体" w:hAnsi="黑体" w:eastAsia="黑体" w:cs="黑体"/>
              <w:b/>
              <w:bCs/>
              <w:i w:val="0"/>
              <w:iCs w:val="0"/>
              <w:caps w:val="0"/>
              <w:color w:val="333333"/>
              <w:spacing w:val="0"/>
              <w:sz w:val="48"/>
              <w:szCs w:val="48"/>
              <w:shd w:val="clear" w:fill="FFFFFF"/>
            </w:rPr>
            <w:t>破茧丛生，“碳”循未来</w:t>
          </w:r>
          <w:r>
            <w:rPr>
              <w:rFonts w:hint="eastAsia" w:ascii="黑体" w:hAnsi="黑体" w:eastAsia="黑体" w:cs="黑体"/>
              <w:b/>
              <w:bCs/>
              <w:sz w:val="48"/>
              <w:szCs w:val="48"/>
            </w:rPr>
            <w:t>项目</w:t>
          </w:r>
        </w:p>
        <w:p>
          <w:pPr>
            <w:ind w:right="790" w:firstLine="1928" w:firstLineChars="400"/>
            <w:jc w:val="center"/>
            <w:rPr>
              <w:rFonts w:ascii="黑体" w:eastAsia="黑体"/>
              <w:b/>
              <w:bCs/>
              <w:sz w:val="48"/>
            </w:rPr>
          </w:pPr>
          <w:r>
            <w:rPr>
              <w:rFonts w:hint="eastAsia" w:ascii="黑体" w:eastAsia="黑体"/>
              <w:b/>
              <w:bCs/>
              <w:sz w:val="48"/>
            </w:rPr>
            <w:t>预制构件用量比例计算书</w:t>
          </w:r>
        </w:p>
        <w:p>
          <w:pPr>
            <w:spacing w:before="120" w:line="360" w:lineRule="auto"/>
            <w:jc w:val="center"/>
            <w:rPr>
              <w:rFonts w:ascii="宋体" w:hAnsi="宋体" w:eastAsia="宋体"/>
            </w:rPr>
          </w:pPr>
        </w:p>
        <w:p>
          <w:pPr>
            <w:jc w:val="center"/>
            <w:rPr>
              <w:lang w:val="zh-CN"/>
            </w:rPr>
          </w:pPr>
        </w:p>
        <w:p>
          <w:pPr>
            <w:jc w:val="center"/>
            <w:rPr>
              <w:lang w:val="zh-CN"/>
            </w:rPr>
          </w:pPr>
        </w:p>
        <w:p>
          <w:pPr>
            <w:jc w:val="center"/>
            <w:rPr>
              <w:lang w:val="zh-CN"/>
            </w:rPr>
          </w:pPr>
        </w:p>
        <w:p>
          <w:pPr>
            <w:rPr>
              <w:lang w:val="zh-CN"/>
            </w:rPr>
          </w:pPr>
        </w:p>
        <w:p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>
          <w:pPr>
            <w:spacing w:before="120" w:line="360" w:lineRule="auto"/>
            <w:ind w:firstLine="1284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>
          <w:pPr>
            <w:spacing w:before="120" w:line="360" w:lineRule="auto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>
          <w:pPr>
            <w:adjustRightInd w:val="0"/>
            <w:snapToGrid w:val="0"/>
            <w:spacing w:before="120"/>
            <w:rPr>
              <w:rFonts w:ascii="微软雅黑" w:hAnsi="微软雅黑" w:eastAsia="微软雅黑"/>
              <w:sz w:val="24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  <w:r>
            <w:rPr>
              <w:rFonts w:hint="eastAsia" w:ascii="黑体" w:eastAsia="黑体"/>
              <w:sz w:val="30"/>
              <w:szCs w:val="30"/>
            </w:rPr>
            <w:t>北京绿建软件股份有限公司</w:t>
          </w:r>
        </w:p>
        <w:p>
          <w:pPr>
            <w:adjustRightInd w:val="0"/>
            <w:snapToGrid w:val="0"/>
            <w:spacing w:before="120"/>
            <w:jc w:val="center"/>
            <w:rPr>
              <w:rFonts w:ascii="微软雅黑" w:hAnsi="微软雅黑" w:eastAsia="微软雅黑"/>
              <w:sz w:val="24"/>
            </w:rPr>
          </w:pPr>
          <w:r>
            <w:rPr>
              <w:rFonts w:ascii="Times New Roman" w:hAnsi="Times New Roman" w:eastAsia="黑体" w:cs="Times New Roman"/>
              <w:sz w:val="30"/>
              <w:szCs w:val="30"/>
            </w:rPr>
            <w:t>202</w:t>
          </w:r>
          <w:r>
            <w:rPr>
              <w:rFonts w:hint="eastAsia" w:ascii="Times New Roman" w:hAnsi="Times New Roman" w:eastAsia="黑体" w:cs="Times New Roman"/>
              <w:sz w:val="30"/>
              <w:szCs w:val="30"/>
              <w:lang w:val="en-US" w:eastAsia="zh-CN"/>
            </w:rPr>
            <w:t>4</w:t>
          </w:r>
          <w:r>
            <w:rPr>
              <w:rFonts w:ascii="Times New Roman" w:hAnsi="Times New Roman" w:eastAsia="黑体" w:cs="Times New Roman"/>
              <w:sz w:val="30"/>
              <w:szCs w:val="30"/>
            </w:rPr>
            <w:t xml:space="preserve"> 年 3 月</w:t>
          </w:r>
        </w:p>
        <w:p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kern w:val="0"/>
              <w:sz w:val="36"/>
              <w:szCs w:val="36"/>
            </w:rPr>
          </w:pPr>
        </w:p>
        <w:p>
          <w:pPr>
            <w:jc w:val="center"/>
            <w:rPr>
              <w:rFonts w:ascii="宋体" w:hAnsi="宋体" w:eastAsia="宋体"/>
            </w:rPr>
            <w:sectPr>
              <w:headerReference r:id="rId4" w:type="first"/>
              <w:headerReference r:id="rId3" w:type="default"/>
              <w:pgSz w:w="11906" w:h="16838"/>
              <w:pgMar w:top="1701" w:right="1417" w:bottom="1417" w:left="1701" w:header="851" w:footer="992" w:gutter="0"/>
              <w:pgNumType w:start="1"/>
              <w:cols w:space="425" w:num="1"/>
              <w:titlePg/>
              <w:docGrid w:type="lines" w:linePitch="312" w:charSpace="0"/>
            </w:sectPr>
          </w:pPr>
        </w:p>
        <w:sdt>
          <w:sdtPr>
            <w:rPr>
              <w:rFonts w:ascii="宋体" w:hAnsi="宋体" w:eastAsia="宋体"/>
              <w:sz w:val="32"/>
              <w:szCs w:val="32"/>
            </w:rPr>
            <w:id w:val="147454627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ascii="Times New Roman" w:hAnsi="Times New Roman" w:eastAsia="微软雅黑" w:cs="Times New Roman"/>
              <w:kern w:val="0"/>
              <w:sz w:val="30"/>
              <w:szCs w:val="30"/>
            </w:rPr>
          </w:sdtEndPr>
          <w:sdtContent>
            <w:p>
              <w:pPr>
                <w:jc w:val="center"/>
                <w:rPr>
                  <w:sz w:val="48"/>
                  <w:szCs w:val="48"/>
                </w:rPr>
              </w:pPr>
              <w:r>
                <w:rPr>
                  <w:rFonts w:ascii="宋体" w:hAnsi="宋体" w:eastAsia="宋体"/>
                  <w:sz w:val="48"/>
                  <w:szCs w:val="48"/>
                </w:rPr>
                <w:t>目</w:t>
              </w:r>
              <w:r>
                <w:rPr>
                  <w:rFonts w:hint="eastAsia" w:ascii="宋体" w:hAnsi="宋体" w:eastAsia="宋体"/>
                  <w:sz w:val="48"/>
                  <w:szCs w:val="48"/>
                </w:rPr>
                <w:t xml:space="preserve">  </w:t>
              </w:r>
              <w:r>
                <w:rPr>
                  <w:rFonts w:ascii="宋体" w:hAnsi="宋体" w:eastAsia="宋体"/>
                  <w:sz w:val="48"/>
                  <w:szCs w:val="48"/>
                </w:rPr>
                <w:t>录</w:t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instrText xml:space="preserve">TOC \o "1-3" \h \u </w:instrText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"_Toc5429"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1.项目概况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_Toc5429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"_Toc2636"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2. 评价方法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_Toc2636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"_Toc18318"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3.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计算过程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_Toc18318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"_Toc20388"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4.结论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_Toc20388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widowControl/>
                <w:spacing w:before="156" w:beforeLines="50" w:after="156" w:afterLines="50" w:line="400" w:lineRule="exact"/>
                <w:jc w:val="left"/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end"/>
              </w:r>
            </w:p>
          </w:sdtContent>
        </w:sdt>
        <w:p>
          <w:pPr>
            <w:widowControl/>
            <w:jc w:val="left"/>
            <w:rPr>
              <w:rFonts w:ascii="微软雅黑" w:hAnsi="微软雅黑" w:eastAsia="微软雅黑"/>
              <w:kern w:val="0"/>
              <w:sz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sectPr>
              <w:footerReference r:id="rId6" w:type="first"/>
              <w:footerReference r:id="rId5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bookmarkStart w:id="0" w:name="_Toc5429"/>
        </w:p>
        <w:p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</w:pPr>
          <w:r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t>1.项目概况</w:t>
          </w:r>
          <w:bookmarkEnd w:id="0"/>
        </w:p>
        <w:p>
          <w:pPr>
            <w:keepNext w:val="0"/>
            <w:keepLines w:val="0"/>
            <w:pageBreakBefore w:val="0"/>
            <w:widowControl w:val="0"/>
            <w:tabs>
              <w:tab w:val="left" w:pos="60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420" w:firstLineChars="200"/>
            <w:textAlignment w:val="auto"/>
            <w:rPr>
              <w:rFonts w:hint="eastAsia" w:ascii="Times New Roman" w:hAnsi="Times New Roman" w:cs="宋体"/>
              <w:sz w:val="21"/>
              <w:szCs w:val="21"/>
              <w:lang w:eastAsia="zh-CN"/>
            </w:rPr>
          </w:pPr>
          <w:bookmarkStart w:id="1" w:name="_Toc2636"/>
          <w:r>
            <w:rPr>
              <w:rFonts w:hint="eastAsia" w:ascii="Times New Roman" w:hAnsi="Times New Roman" w:cs="宋体"/>
              <w:sz w:val="21"/>
              <w:szCs w:val="21"/>
              <w:lang w:eastAsia="zh-CN"/>
            </w:rPr>
            <w:t>本设计为南昌校园教学楼绿色改造与翻新，建筑面积24386㎡，建筑高度27.8m，地处夏热冬冷地区，因地制宜，科学规划，以“推动绿色发展，促进人与自然和谐共生”为改造基点，力图创建一个环境优美、绿色生态的建筑。</w:t>
          </w:r>
        </w:p>
        <w:p>
          <w:pPr>
            <w:keepNext w:val="0"/>
            <w:keepLines w:val="0"/>
            <w:pageBreakBefore w:val="0"/>
            <w:widowControl w:val="0"/>
            <w:tabs>
              <w:tab w:val="left" w:pos="60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420" w:firstLineChars="200"/>
            <w:textAlignment w:val="auto"/>
            <w:rPr>
              <w:rFonts w:hint="eastAsia" w:ascii="Times New Roman" w:hAnsi="Times New Roman" w:cs="宋体"/>
              <w:sz w:val="21"/>
              <w:szCs w:val="21"/>
              <w:lang w:eastAsia="zh-CN"/>
            </w:rPr>
          </w:pPr>
          <w:r>
            <w:rPr>
              <w:rFonts w:hint="eastAsia" w:ascii="Times New Roman" w:hAnsi="Times New Roman" w:cs="宋体"/>
              <w:sz w:val="21"/>
              <w:szCs w:val="21"/>
              <w:lang w:eastAsia="zh-CN"/>
            </w:rPr>
            <w:t>设计基于教学楼原有采光和通风较差、绿地覆盖率低等一系列问题进行改造，在绿建斯维尔软件分析下，以创新、绿色、开放、共享为出发点，本设计对于东北方向阶梯教室采光差、建筑局部通风效果较差等提出并应用多项改造措施，通过比较与筛选，采用打通纵向空间改善通风效果、打造滨水生态休闲绿轴等措施改善建筑舒适性，同时采用太阳能技术降低本建筑能耗，减少碳排放，采用中庭-湖泊-建筑水循环系统，实现降水的收集和利用，达到可持续发展目标，采用硬质矿棉板实现防火耐高温、隔热保温，不含任何致癌物质等有害物质，符合国家环保标准，同时采用建筑改造产生的固体废弃物回收利用技术，实现固体废弃物资源化、无害化、减墨化。</w:t>
          </w:r>
        </w:p>
        <w:p>
          <w:pPr>
            <w:keepNext w:val="0"/>
            <w:keepLines w:val="0"/>
            <w:pageBreakBefore w:val="0"/>
            <w:widowControl w:val="0"/>
            <w:tabs>
              <w:tab w:val="left" w:pos="60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420" w:firstLineChars="200"/>
            <w:textAlignment w:val="auto"/>
            <w:rPr>
              <w:rFonts w:ascii="Times New Roman" w:hAnsi="Times New Roman" w:cs="宋体"/>
              <w:sz w:val="21"/>
              <w:szCs w:val="21"/>
              <w:lang w:eastAsia="zh-CN"/>
            </w:rPr>
          </w:pPr>
          <w:r>
            <w:rPr>
              <w:rFonts w:hint="eastAsia" w:ascii="Times New Roman" w:hAnsi="Times New Roman" w:cs="宋体"/>
              <w:sz w:val="21"/>
              <w:szCs w:val="21"/>
              <w:lang w:eastAsia="zh-CN"/>
            </w:rPr>
            <w:t>通过设计绿色空间，运用多项绿色节能技术，将本建筑与建筑主要使用人群的需求结合，从通风、采光等方面改善建筑的使用功能，改造后的屋顶绿化、垂直绿化、中庭雨水花园以及周围绿地设计，使师生在繁忙的工作、学习生活中能拥有美好放松的心情。</w:t>
          </w:r>
        </w:p>
        <w:p/>
        <w:p>
          <w:pPr>
            <w:jc w:val="center"/>
            <w:rPr>
              <w:rFonts w:ascii="Times New Roman" w:hAnsi="Times New Roman" w:eastAsia="宋体"/>
              <w:sz w:val="18"/>
              <w:szCs w:val="18"/>
            </w:rPr>
          </w:pPr>
          <w:r>
            <w:rPr>
              <w:rFonts w:hint="eastAsia" w:ascii="Times New Roman" w:hAnsi="Times New Roman" w:eastAsia="宋体"/>
              <w:sz w:val="18"/>
              <w:szCs w:val="18"/>
            </w:rPr>
            <w:drawing>
              <wp:inline distT="0" distB="0" distL="114300" distR="114300">
                <wp:extent cx="5266690" cy="2962910"/>
                <wp:effectExtent l="0" t="0" r="6350" b="8890"/>
                <wp:docPr id="2" name="图片 2" descr="db46036bf4946b962432f821f0a8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 descr="db46036bf4946b962432f821f0a8560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690" cy="2962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eastAsia" w:ascii="Times New Roman" w:hAnsi="Times New Roman" w:eastAsia="宋体"/>
              <w:sz w:val="18"/>
              <w:szCs w:val="18"/>
            </w:rPr>
            <w:t>项目效果图</w:t>
          </w:r>
        </w:p>
        <w:p>
          <w:pPr>
            <w:pStyle w:val="2"/>
            <w:numPr>
              <w:ilvl w:val="0"/>
              <w:numId w:val="1"/>
            </w:numPr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</w:pPr>
          <w:r>
            <w:rPr>
              <w:rFonts w:hint="eastAsia"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  <w:t>评价方法</w:t>
          </w:r>
          <w:bookmarkEnd w:id="1"/>
        </w:p>
        <w:p>
          <w:pPr>
            <w:pStyle w:val="12"/>
            <w:shd w:val="clear" w:color="auto" w:fill="FFFFFF"/>
            <w:spacing w:before="0" w:beforeAutospacing="0" w:after="0" w:afterAutospacing="0" w:line="360" w:lineRule="auto"/>
            <w:ind w:firstLine="480"/>
            <w:textAlignment w:val="baseline"/>
          </w:pPr>
          <w:r>
            <w:rPr>
              <w:rFonts w:ascii="Times New Roman" w:hAnsi="Times New Roman" w:cs="Times New Roman"/>
            </w:rPr>
            <w:t>《绿色建筑评价标准》</w:t>
          </w:r>
          <w:r>
            <w:rPr>
              <w:rFonts w:hint="eastAsia" w:ascii="Times New Roman" w:hAnsi="Times New Roman" w:cs="Times New Roman"/>
            </w:rPr>
            <w:t>GB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hint="eastAsia" w:ascii="Times New Roman" w:hAnsi="Times New Roman" w:cs="Times New Roman"/>
            </w:rPr>
            <w:t>50378</w:t>
          </w:r>
          <w:r>
            <w:rPr>
              <w:rFonts w:ascii="Times New Roman" w:hAnsi="Times New Roman" w:cs="Times New Roman"/>
            </w:rPr>
            <w:t>-201</w:t>
          </w:r>
          <w:r>
            <w:rPr>
              <w:rFonts w:hint="eastAsia" w:ascii="Times New Roman" w:hAnsi="Times New Roman" w:cs="Times New Roman"/>
            </w:rPr>
            <w:t>9</w:t>
          </w:r>
          <w:r>
            <w:rPr>
              <w:rFonts w:ascii="Times New Roman" w:hAnsi="Times New Roman" w:cs="Times New Roman"/>
            </w:rPr>
            <w:t>条文</w:t>
          </w:r>
          <w:r>
            <w:rPr>
              <w:rFonts w:hint="eastAsia" w:ascii="Times New Roman" w:hAnsi="Times New Roman" w:cs="Times New Roman"/>
            </w:rPr>
            <w:t>9</w:t>
          </w:r>
          <w:r>
            <w:rPr>
              <w:rFonts w:ascii="Times New Roman" w:hAnsi="Times New Roman" w:cs="Times New Roman"/>
            </w:rPr>
            <w:t>.2.5“</w:t>
          </w:r>
          <w:r>
            <w:rPr>
              <w:rFonts w:hint="eastAsia" w:ascii="Times New Roman" w:hAnsi="Times New Roman" w:cs="Times New Roman"/>
              <w:b/>
              <w:bCs/>
            </w:rPr>
            <w:t>采用符合工业化建造要求的结构体系与建筑构件</w:t>
          </w:r>
          <w:r>
            <w:rPr>
              <w:rFonts w:ascii="Times New Roman" w:hAnsi="Times New Roman" w:cs="Times New Roman"/>
              <w:b/>
              <w:bCs/>
            </w:rPr>
            <w:t>，评分总分值为</w:t>
          </w:r>
          <w:r>
            <w:rPr>
              <w:rFonts w:hint="eastAsia" w:ascii="Times New Roman" w:hAnsi="Times New Roman" w:cs="Times New Roman"/>
              <w:b/>
              <w:bCs/>
            </w:rPr>
            <w:t>10</w:t>
          </w:r>
          <w:r>
            <w:rPr>
              <w:rFonts w:ascii="Times New Roman" w:hAnsi="Times New Roman" w:cs="Times New Roman"/>
              <w:b/>
              <w:bCs/>
            </w:rPr>
            <w:t>分。</w:t>
          </w:r>
          <w:r>
            <w:rPr>
              <w:rFonts w:hint="eastAsia" w:ascii="Times New Roman" w:hAnsi="Times New Roman" w:cs="Times New Roman"/>
              <w:b/>
              <w:bCs/>
            </w:rPr>
            <w:t>主体结构采用装配式混凝土结构，地上部分预制构件应用混凝土体积占混凝土总体积的比例达到35%</w:t>
          </w:r>
          <w:r>
            <w:rPr>
              <w:rFonts w:ascii="Times New Roman" w:hAnsi="Times New Roman" w:cs="Times New Roman"/>
              <w:b/>
              <w:bCs/>
            </w:rPr>
            <w:t>，得</w:t>
          </w:r>
          <w:r>
            <w:rPr>
              <w:rFonts w:hint="eastAsia" w:ascii="Times New Roman" w:hAnsi="Times New Roman" w:cs="Times New Roman"/>
              <w:b/>
              <w:bCs/>
            </w:rPr>
            <w:t>5</w:t>
          </w:r>
          <w:r>
            <w:rPr>
              <w:rFonts w:ascii="Times New Roman" w:hAnsi="Times New Roman" w:cs="Times New Roman"/>
              <w:b/>
              <w:bCs/>
            </w:rPr>
            <w:t>分；达到</w:t>
          </w:r>
          <w:r>
            <w:rPr>
              <w:rFonts w:hint="eastAsia" w:ascii="Times New Roman" w:hAnsi="Times New Roman" w:cs="Times New Roman"/>
              <w:b/>
              <w:bCs/>
            </w:rPr>
            <w:t>5</w:t>
          </w:r>
          <w:r>
            <w:rPr>
              <w:rFonts w:ascii="Times New Roman" w:hAnsi="Times New Roman" w:cs="Times New Roman"/>
              <w:b/>
              <w:bCs/>
            </w:rPr>
            <w:t>0%，得</w:t>
          </w:r>
          <w:r>
            <w:rPr>
              <w:rFonts w:hint="eastAsia" w:ascii="Times New Roman" w:hAnsi="Times New Roman" w:cs="Times New Roman"/>
              <w:b/>
              <w:bCs/>
            </w:rPr>
            <w:t>10</w:t>
          </w:r>
          <w:r>
            <w:rPr>
              <w:rFonts w:ascii="Times New Roman" w:hAnsi="Times New Roman" w:cs="Times New Roman"/>
              <w:b/>
              <w:bCs/>
            </w:rPr>
            <w:t>分</w:t>
          </w:r>
          <w:r>
            <w:rPr>
              <w:rFonts w:ascii="Times New Roman" w:hAnsi="Times New Roman" w:cs="Times New Roman"/>
            </w:rPr>
            <w:t>”。</w:t>
          </w:r>
        </w:p>
      </w:sdtContent>
    </w:sdt>
    <w:p>
      <w:pPr>
        <w:widowControl/>
        <w:spacing w:before="312" w:beforeLines="100" w:after="312" w:afterLines="100" w:line="400" w:lineRule="exact"/>
        <w:jc w:val="left"/>
        <w:outlineLvl w:val="0"/>
        <w:rPr>
          <w:rFonts w:ascii="Times New Roman" w:hAnsi="Times New Roman" w:cs="Times New Roman"/>
          <w:b/>
          <w:sz w:val="30"/>
          <w:szCs w:val="30"/>
        </w:rPr>
      </w:pPr>
      <w:bookmarkStart w:id="2" w:name="_Toc18318"/>
      <w:r>
        <w:rPr>
          <w:rFonts w:ascii="Times New Roman" w:hAnsi="Times New Roman" w:cs="Times New Roman"/>
          <w:b/>
          <w:sz w:val="30"/>
          <w:szCs w:val="30"/>
          <w:lang w:val="zh-CN"/>
        </w:rPr>
        <w:t>3.</w:t>
      </w:r>
      <w:r>
        <w:rPr>
          <w:rFonts w:hint="eastAsia" w:ascii="Times New Roman" w:hAnsi="Times New Roman" w:cs="Times New Roman"/>
          <w:b/>
          <w:sz w:val="30"/>
          <w:szCs w:val="30"/>
        </w:rPr>
        <w:t>计算过程</w:t>
      </w:r>
      <w:bookmarkEnd w:id="2"/>
    </w:p>
    <w:p>
      <w:pPr>
        <w:pStyle w:val="3"/>
        <w:ind w:firstLine="480"/>
        <w:rPr>
          <w:sz w:val="24"/>
        </w:rPr>
      </w:pPr>
      <w:r>
        <w:rPr>
          <w:sz w:val="24"/>
        </w:rPr>
        <w:t>预制构件包括各种结构构件和非结构构件,如预制梁、预制柱、预制墙板、预制阳台板、预制楼梯、雨棚、栏杆等.在保证安全的前提下,使用工厂化方式生产的预制构件,既能减少材料浪费,又能减少施工对环境的影响,同时可为将来建筑拆除后构件的替换和再利用创造条件。</w:t>
      </w:r>
    </w:p>
    <w:p>
      <w:pPr>
        <w:pStyle w:val="3"/>
        <w:ind w:firstLine="480"/>
        <w:rPr>
          <w:sz w:val="24"/>
        </w:rPr>
      </w:pPr>
      <w:r>
        <w:rPr>
          <w:sz w:val="24"/>
        </w:rPr>
        <w:t>预制构件用量比例是指建筑室外地坪以上的主体结构和围护结构中,预制构件部分的混凝土用量占对应部分混凝土总用量的体积比。</w:t>
      </w:r>
    </w:p>
    <w:p>
      <w:pPr>
        <w:pStyle w:val="12"/>
        <w:shd w:val="clear" w:color="auto" w:fill="FFFFFF"/>
        <w:spacing w:before="0" w:beforeAutospacing="0" w:after="0" w:afterAutospacing="0" w:line="360" w:lineRule="auto"/>
        <w:ind w:firstLine="482"/>
        <w:jc w:val="center"/>
        <w:textAlignment w:val="baseline"/>
        <w:rPr>
          <w:rFonts w:ascii="Times New Roman" w:hAnsi="Times New Roman" w:cs="Times New Roman"/>
          <w:bCs/>
          <w:color w:val="333333"/>
        </w:rPr>
      </w:pPr>
      <w:r>
        <w:rPr>
          <w:rFonts w:ascii="Times New Roman" w:hAnsi="Times New Roman" w:cs="Times New Roman" w:eastAsiaTheme="minorEastAsia"/>
          <w:bCs/>
        </w:rPr>
        <w:t>表</w:t>
      </w:r>
      <w:r>
        <w:rPr>
          <w:rFonts w:hint="eastAsia" w:ascii="Times New Roman" w:hAnsi="Times New Roman" w:cs="Times New Roman" w:eastAsiaTheme="minorEastAsia"/>
          <w:bCs/>
        </w:rPr>
        <w:t>3</w:t>
      </w:r>
      <w:r>
        <w:rPr>
          <w:rFonts w:ascii="Times New Roman" w:hAnsi="Times New Roman" w:cs="Times New Roman" w:eastAsiaTheme="minorEastAsia"/>
          <w:bCs/>
        </w:rPr>
        <w:t>.1  预制构件用量比例计算</w:t>
      </w:r>
      <w:r>
        <w:rPr>
          <w:rFonts w:hint="eastAsia" w:ascii="Times New Roman" w:hAnsi="Times New Roman" w:cs="Times New Roman" w:eastAsiaTheme="minorEastAsia"/>
          <w:bCs/>
        </w:rPr>
        <w:t>表</w:t>
      </w:r>
    </w:p>
    <w:tbl>
      <w:tblPr>
        <w:tblStyle w:val="14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1939"/>
        <w:gridCol w:w="808"/>
        <w:gridCol w:w="1132"/>
        <w:gridCol w:w="1425"/>
        <w:gridCol w:w="1026"/>
        <w:gridCol w:w="13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47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楼栋</w:t>
            </w: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项目名称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体积</w:t>
            </w:r>
          </w:p>
        </w:tc>
        <w:tc>
          <w:tcPr>
            <w:tcW w:w="83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密度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重量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477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1#</w:t>
            </w: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预制叠合楼板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/>
              </w:rPr>
              <w:t>736.88</w:t>
            </w:r>
          </w:p>
        </w:tc>
        <w:tc>
          <w:tcPr>
            <w:tcW w:w="83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1842.2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77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shd w:val="clear" w:fill="000000"/>
                <w:lang w:bidi="ar"/>
              </w:rPr>
              <w:t>预制混凝土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1708.5</w:t>
            </w:r>
          </w:p>
        </w:tc>
        <w:tc>
          <w:tcPr>
            <w:tcW w:w="83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4271.25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477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预制内墙板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744.32</w:t>
            </w:r>
          </w:p>
        </w:tc>
        <w:tc>
          <w:tcPr>
            <w:tcW w:w="83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1860.8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477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预制保温外墙板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227.2</w:t>
            </w:r>
          </w:p>
        </w:tc>
        <w:tc>
          <w:tcPr>
            <w:tcW w:w="83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568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3589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合计t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bidi="ar"/>
              </w:rPr>
            </w:pP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8542.25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3589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混凝土总重量t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14454.7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3589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比例%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  <w:lang w:val="en-US" w:eastAsia="zh-CN"/>
              </w:rPr>
              <w:t>59.1%</w:t>
            </w:r>
          </w:p>
        </w:tc>
      </w:tr>
    </w:tbl>
    <w:p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</w:pPr>
      <w:bookmarkStart w:id="3" w:name="_Toc20388"/>
      <w:r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  <w:t>4.结论</w:t>
      </w:r>
      <w:bookmarkEnd w:id="3"/>
    </w:p>
    <w:p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经计算，本项目居建采用的预制构件用量为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8542.25</w:t>
      </w:r>
      <w:r>
        <w:rPr>
          <w:rFonts w:ascii="Times New Roman" w:hAnsi="Times New Roman" w:eastAsia="宋体" w:cs="Times New Roman"/>
          <w:sz w:val="24"/>
          <w:szCs w:val="24"/>
        </w:rPr>
        <w:t>t，该部分混凝土总用量为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14454.7</w:t>
      </w:r>
      <w:r>
        <w:rPr>
          <w:rFonts w:ascii="Times New Roman" w:hAnsi="Times New Roman" w:eastAsia="宋体" w:cs="Times New Roman"/>
          <w:sz w:val="24"/>
          <w:szCs w:val="24"/>
        </w:rPr>
        <w:t>t，预制构件用量比例为</w:t>
      </w:r>
      <w:r>
        <w:rPr>
          <w:rFonts w:hint="eastAsia" w:ascii="Times New Roman" w:hAnsi="Times New Roman" w:eastAsia="宋体" w:cs="Times New Roman"/>
          <w:b/>
          <w:color w:val="000000"/>
          <w:sz w:val="24"/>
          <w:szCs w:val="24"/>
          <w:lang w:val="en-US" w:eastAsia="zh-CN"/>
        </w:rPr>
        <w:t>59.1</w:t>
      </w:r>
      <w:r>
        <w:rPr>
          <w:rFonts w:ascii="Times New Roman" w:hAnsi="Times New Roman" w:eastAsia="宋体" w:cs="Times New Roman"/>
          <w:sz w:val="24"/>
          <w:szCs w:val="24"/>
        </w:rPr>
        <w:t>%，达到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  <w:lang w:val="en-US" w:eastAsia="zh-CN"/>
        </w:rPr>
        <w:t>50</w:t>
      </w:r>
      <w:r>
        <w:rPr>
          <w:rFonts w:ascii="Times New Roman" w:hAnsi="Times New Roman" w:eastAsia="宋体" w:cs="Times New Roman"/>
          <w:sz w:val="24"/>
          <w:szCs w:val="24"/>
        </w:rPr>
        <w:t xml:space="preserve">%，满足《绿色建筑评价标准》（GB 50378-2019）第 </w:t>
      </w:r>
      <w:r>
        <w:rPr>
          <w:rFonts w:hint="eastAsia" w:ascii="Times New Roman" w:hAnsi="Times New Roman" w:eastAsia="宋体" w:cs="Times New Roman"/>
          <w:sz w:val="24"/>
          <w:szCs w:val="24"/>
        </w:rPr>
        <w:t>9.2.5</w:t>
      </w:r>
      <w:r>
        <w:rPr>
          <w:rFonts w:ascii="Times New Roman" w:hAnsi="Times New Roman" w:eastAsia="宋体" w:cs="Times New Roman"/>
          <w:sz w:val="24"/>
          <w:szCs w:val="24"/>
        </w:rPr>
        <w:t xml:space="preserve"> 条得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  <w:lang w:val="en-US" w:eastAsia="zh-CN"/>
        </w:rPr>
        <w:t>5</w:t>
      </w:r>
      <w:r>
        <w:rPr>
          <w:rFonts w:ascii="Times New Roman" w:hAnsi="Times New Roman" w:eastAsia="宋体" w:cs="Times New Roman"/>
          <w:sz w:val="24"/>
          <w:szCs w:val="24"/>
        </w:rPr>
        <w:t>分的要求。</w:t>
      </w:r>
    </w:p>
    <w:p>
      <w:pPr>
        <w:spacing w:line="400" w:lineRule="exact"/>
        <w:rPr>
          <w:rFonts w:ascii="Times New Roman" w:hAnsi="Times New Roman" w:cs="Times New Roman"/>
          <w:lang w:val="zh-CN"/>
        </w:rPr>
      </w:pPr>
      <w:bookmarkStart w:id="4" w:name="_GoBack"/>
      <w:bookmarkEnd w:id="4"/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jc w:val="right"/>
      <w:rPr>
        <w:rFonts w:ascii="宋体" w:hAnsi="宋体" w:eastAsia="宋体"/>
      </w:rPr>
    </w:pPr>
    <w:r>
      <w:rPr>
        <w:rFonts w:hint="eastAsia" w:ascii="宋体" w:hAnsi="宋体" w:eastAsia="宋体" w:cs="微软雅黑"/>
        <w:sz w:val="21"/>
        <w:szCs w:val="20"/>
      </w:rPr>
      <w:t>预制构件用量比例计算书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123008"/>
    <w:multiLevelType w:val="singleLevel"/>
    <w:tmpl w:val="9D12300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U0MzI2ZGJhNWUyMTMxZDE0NjVkMjg1NDQwZGZhZGUifQ=="/>
    <w:docVar w:name="KSO_WPS_MARK_KEY" w:val="9c2d201f-0f4e-42c4-b4a3-f9a62e6632e6"/>
  </w:docVars>
  <w:rsids>
    <w:rsidRoot w:val="00E11FA2"/>
    <w:rsid w:val="000011E9"/>
    <w:rsid w:val="00005623"/>
    <w:rsid w:val="00011FB5"/>
    <w:rsid w:val="00026428"/>
    <w:rsid w:val="000309F4"/>
    <w:rsid w:val="00040067"/>
    <w:rsid w:val="000477BD"/>
    <w:rsid w:val="000518B1"/>
    <w:rsid w:val="0005545B"/>
    <w:rsid w:val="00076C23"/>
    <w:rsid w:val="00080C0D"/>
    <w:rsid w:val="000A77B2"/>
    <w:rsid w:val="000B5F99"/>
    <w:rsid w:val="000C4D1D"/>
    <w:rsid w:val="000C5C6F"/>
    <w:rsid w:val="00105389"/>
    <w:rsid w:val="001149C0"/>
    <w:rsid w:val="001237A7"/>
    <w:rsid w:val="0016161E"/>
    <w:rsid w:val="00181F1F"/>
    <w:rsid w:val="00192071"/>
    <w:rsid w:val="001A2234"/>
    <w:rsid w:val="001E799F"/>
    <w:rsid w:val="001F1B68"/>
    <w:rsid w:val="001F3F14"/>
    <w:rsid w:val="001F4739"/>
    <w:rsid w:val="0021351D"/>
    <w:rsid w:val="00236C73"/>
    <w:rsid w:val="00247BE8"/>
    <w:rsid w:val="00254A5B"/>
    <w:rsid w:val="00294384"/>
    <w:rsid w:val="002B6819"/>
    <w:rsid w:val="002C5CD6"/>
    <w:rsid w:val="002C78EB"/>
    <w:rsid w:val="002D0A6E"/>
    <w:rsid w:val="002F2E40"/>
    <w:rsid w:val="0030362A"/>
    <w:rsid w:val="00306605"/>
    <w:rsid w:val="00351560"/>
    <w:rsid w:val="00376141"/>
    <w:rsid w:val="003B0C57"/>
    <w:rsid w:val="003E7CE6"/>
    <w:rsid w:val="00406761"/>
    <w:rsid w:val="004649B2"/>
    <w:rsid w:val="004A1EA3"/>
    <w:rsid w:val="004B28CB"/>
    <w:rsid w:val="004D13DB"/>
    <w:rsid w:val="004D5AED"/>
    <w:rsid w:val="004F0207"/>
    <w:rsid w:val="00525779"/>
    <w:rsid w:val="00550ABD"/>
    <w:rsid w:val="00565A84"/>
    <w:rsid w:val="00566344"/>
    <w:rsid w:val="00580554"/>
    <w:rsid w:val="00586EC3"/>
    <w:rsid w:val="00592E8F"/>
    <w:rsid w:val="005930A0"/>
    <w:rsid w:val="005A4508"/>
    <w:rsid w:val="005C1B1E"/>
    <w:rsid w:val="005D71C2"/>
    <w:rsid w:val="006654CC"/>
    <w:rsid w:val="00672C28"/>
    <w:rsid w:val="00674DA2"/>
    <w:rsid w:val="00685798"/>
    <w:rsid w:val="00690C85"/>
    <w:rsid w:val="006B062B"/>
    <w:rsid w:val="006C3739"/>
    <w:rsid w:val="006E2A78"/>
    <w:rsid w:val="00734E8B"/>
    <w:rsid w:val="00736774"/>
    <w:rsid w:val="00736DC9"/>
    <w:rsid w:val="007420AC"/>
    <w:rsid w:val="00750906"/>
    <w:rsid w:val="00757863"/>
    <w:rsid w:val="007647A3"/>
    <w:rsid w:val="00781CA7"/>
    <w:rsid w:val="007D0B57"/>
    <w:rsid w:val="007D5436"/>
    <w:rsid w:val="007E02D2"/>
    <w:rsid w:val="007E10D1"/>
    <w:rsid w:val="007F481F"/>
    <w:rsid w:val="00805CEE"/>
    <w:rsid w:val="008075BF"/>
    <w:rsid w:val="00824EF8"/>
    <w:rsid w:val="00837047"/>
    <w:rsid w:val="008457FC"/>
    <w:rsid w:val="00861C8A"/>
    <w:rsid w:val="0086304C"/>
    <w:rsid w:val="00873253"/>
    <w:rsid w:val="0087583E"/>
    <w:rsid w:val="00876AE6"/>
    <w:rsid w:val="008774EA"/>
    <w:rsid w:val="00882D1D"/>
    <w:rsid w:val="008D343F"/>
    <w:rsid w:val="008F144C"/>
    <w:rsid w:val="00907E34"/>
    <w:rsid w:val="00916B49"/>
    <w:rsid w:val="00921D57"/>
    <w:rsid w:val="00933DDA"/>
    <w:rsid w:val="009523F0"/>
    <w:rsid w:val="0096027D"/>
    <w:rsid w:val="00961486"/>
    <w:rsid w:val="00966B3C"/>
    <w:rsid w:val="00972C74"/>
    <w:rsid w:val="00997902"/>
    <w:rsid w:val="009C14B8"/>
    <w:rsid w:val="009E3D43"/>
    <w:rsid w:val="009E5910"/>
    <w:rsid w:val="009F0F16"/>
    <w:rsid w:val="009F222E"/>
    <w:rsid w:val="009F4DDA"/>
    <w:rsid w:val="00A05C38"/>
    <w:rsid w:val="00A0726B"/>
    <w:rsid w:val="00A3232A"/>
    <w:rsid w:val="00A35A6F"/>
    <w:rsid w:val="00A4420D"/>
    <w:rsid w:val="00A46CB2"/>
    <w:rsid w:val="00A61948"/>
    <w:rsid w:val="00A63F79"/>
    <w:rsid w:val="00A716D9"/>
    <w:rsid w:val="00A71B2D"/>
    <w:rsid w:val="00A81627"/>
    <w:rsid w:val="00A93EDA"/>
    <w:rsid w:val="00A97BDA"/>
    <w:rsid w:val="00AE11CA"/>
    <w:rsid w:val="00AF447E"/>
    <w:rsid w:val="00B04ECC"/>
    <w:rsid w:val="00B0692A"/>
    <w:rsid w:val="00B11A07"/>
    <w:rsid w:val="00B26231"/>
    <w:rsid w:val="00B57EBC"/>
    <w:rsid w:val="00B63CD0"/>
    <w:rsid w:val="00B65DFD"/>
    <w:rsid w:val="00B77E9C"/>
    <w:rsid w:val="00B91603"/>
    <w:rsid w:val="00BA2CDB"/>
    <w:rsid w:val="00BA697F"/>
    <w:rsid w:val="00BB2903"/>
    <w:rsid w:val="00BB6DE0"/>
    <w:rsid w:val="00BD045E"/>
    <w:rsid w:val="00C141CD"/>
    <w:rsid w:val="00C2482D"/>
    <w:rsid w:val="00C45BD8"/>
    <w:rsid w:val="00C610E3"/>
    <w:rsid w:val="00C65091"/>
    <w:rsid w:val="00C6516F"/>
    <w:rsid w:val="00C82505"/>
    <w:rsid w:val="00C94B72"/>
    <w:rsid w:val="00CA7F8A"/>
    <w:rsid w:val="00D03638"/>
    <w:rsid w:val="00D267E8"/>
    <w:rsid w:val="00D345EB"/>
    <w:rsid w:val="00D37B3A"/>
    <w:rsid w:val="00D41041"/>
    <w:rsid w:val="00D44084"/>
    <w:rsid w:val="00D71505"/>
    <w:rsid w:val="00D721F3"/>
    <w:rsid w:val="00D727DF"/>
    <w:rsid w:val="00D76938"/>
    <w:rsid w:val="00D83A1A"/>
    <w:rsid w:val="00D97789"/>
    <w:rsid w:val="00E00453"/>
    <w:rsid w:val="00E11FA2"/>
    <w:rsid w:val="00E6243B"/>
    <w:rsid w:val="00E62896"/>
    <w:rsid w:val="00E736ED"/>
    <w:rsid w:val="00E91E8C"/>
    <w:rsid w:val="00E93BD1"/>
    <w:rsid w:val="00E96957"/>
    <w:rsid w:val="00EA4ECF"/>
    <w:rsid w:val="00EA7FDB"/>
    <w:rsid w:val="00EB0C0B"/>
    <w:rsid w:val="00EC7B39"/>
    <w:rsid w:val="00EF4038"/>
    <w:rsid w:val="00F149CB"/>
    <w:rsid w:val="00F30522"/>
    <w:rsid w:val="00F56B71"/>
    <w:rsid w:val="00F57171"/>
    <w:rsid w:val="00F63210"/>
    <w:rsid w:val="00F83081"/>
    <w:rsid w:val="00F8383D"/>
    <w:rsid w:val="00F855E3"/>
    <w:rsid w:val="00F85CEC"/>
    <w:rsid w:val="00F9549B"/>
    <w:rsid w:val="00FA52D6"/>
    <w:rsid w:val="00FC3475"/>
    <w:rsid w:val="00FC6ED9"/>
    <w:rsid w:val="011B1707"/>
    <w:rsid w:val="02393F20"/>
    <w:rsid w:val="029265FC"/>
    <w:rsid w:val="030B58BF"/>
    <w:rsid w:val="03545C9A"/>
    <w:rsid w:val="037E0D1B"/>
    <w:rsid w:val="03BA6185"/>
    <w:rsid w:val="05AA797A"/>
    <w:rsid w:val="068A0E95"/>
    <w:rsid w:val="082D0330"/>
    <w:rsid w:val="082E7E18"/>
    <w:rsid w:val="09D37291"/>
    <w:rsid w:val="0ADC43E7"/>
    <w:rsid w:val="0E4E6C3C"/>
    <w:rsid w:val="0F023FA9"/>
    <w:rsid w:val="0FBB3E72"/>
    <w:rsid w:val="0FFC751B"/>
    <w:rsid w:val="10AE6FC7"/>
    <w:rsid w:val="11812ADA"/>
    <w:rsid w:val="11A010B5"/>
    <w:rsid w:val="121D2E5A"/>
    <w:rsid w:val="150E3233"/>
    <w:rsid w:val="153309D7"/>
    <w:rsid w:val="18B00B1A"/>
    <w:rsid w:val="1AA270AE"/>
    <w:rsid w:val="1BAF42D2"/>
    <w:rsid w:val="1CA3347C"/>
    <w:rsid w:val="1E916AC7"/>
    <w:rsid w:val="1F794DF8"/>
    <w:rsid w:val="1F9F0968"/>
    <w:rsid w:val="20AF5858"/>
    <w:rsid w:val="2117523C"/>
    <w:rsid w:val="2168264A"/>
    <w:rsid w:val="227C27F0"/>
    <w:rsid w:val="254646E5"/>
    <w:rsid w:val="26174245"/>
    <w:rsid w:val="2848062F"/>
    <w:rsid w:val="2B5975F6"/>
    <w:rsid w:val="2C4A08ED"/>
    <w:rsid w:val="2CAA45DA"/>
    <w:rsid w:val="2D06502B"/>
    <w:rsid w:val="2D702671"/>
    <w:rsid w:val="2E5212CA"/>
    <w:rsid w:val="32B2554D"/>
    <w:rsid w:val="33DD70A5"/>
    <w:rsid w:val="34DC2802"/>
    <w:rsid w:val="362F46FC"/>
    <w:rsid w:val="36DC2E22"/>
    <w:rsid w:val="3A14479A"/>
    <w:rsid w:val="3B4F3C0C"/>
    <w:rsid w:val="3CBB48D6"/>
    <w:rsid w:val="3DF12CC9"/>
    <w:rsid w:val="3ED62B96"/>
    <w:rsid w:val="421460C8"/>
    <w:rsid w:val="43833765"/>
    <w:rsid w:val="48BB3274"/>
    <w:rsid w:val="4A745EB4"/>
    <w:rsid w:val="4CCB5F45"/>
    <w:rsid w:val="4E33279F"/>
    <w:rsid w:val="4F1D2570"/>
    <w:rsid w:val="508F6A10"/>
    <w:rsid w:val="51C41C05"/>
    <w:rsid w:val="525B6F9B"/>
    <w:rsid w:val="527E6314"/>
    <w:rsid w:val="53856385"/>
    <w:rsid w:val="554743C5"/>
    <w:rsid w:val="57745FEF"/>
    <w:rsid w:val="5908372B"/>
    <w:rsid w:val="59D56836"/>
    <w:rsid w:val="5B5A24EC"/>
    <w:rsid w:val="5CB71570"/>
    <w:rsid w:val="5EE1754B"/>
    <w:rsid w:val="5F737FFC"/>
    <w:rsid w:val="61233805"/>
    <w:rsid w:val="6173388D"/>
    <w:rsid w:val="61C334CF"/>
    <w:rsid w:val="61D73FA7"/>
    <w:rsid w:val="64F06B1D"/>
    <w:rsid w:val="65382EF3"/>
    <w:rsid w:val="65A72D16"/>
    <w:rsid w:val="66450A13"/>
    <w:rsid w:val="67FC4EF5"/>
    <w:rsid w:val="69E00128"/>
    <w:rsid w:val="6A3647CD"/>
    <w:rsid w:val="6A6827CC"/>
    <w:rsid w:val="6A916857"/>
    <w:rsid w:val="6C6D00BC"/>
    <w:rsid w:val="6CDA262E"/>
    <w:rsid w:val="6D386C7A"/>
    <w:rsid w:val="6DD36373"/>
    <w:rsid w:val="6EB8481A"/>
    <w:rsid w:val="6F39588E"/>
    <w:rsid w:val="6F6669EE"/>
    <w:rsid w:val="6F801561"/>
    <w:rsid w:val="703650BC"/>
    <w:rsid w:val="717B45F7"/>
    <w:rsid w:val="71C75E8C"/>
    <w:rsid w:val="734871CA"/>
    <w:rsid w:val="75405CC6"/>
    <w:rsid w:val="759D410F"/>
    <w:rsid w:val="75E55280"/>
    <w:rsid w:val="77142274"/>
    <w:rsid w:val="79F94BE9"/>
    <w:rsid w:val="7AFB663E"/>
    <w:rsid w:val="7BF01F78"/>
    <w:rsid w:val="7C25685C"/>
    <w:rsid w:val="7C5C2A2B"/>
    <w:rsid w:val="7D9D72E5"/>
    <w:rsid w:val="7E356140"/>
    <w:rsid w:val="7E5C4E51"/>
    <w:rsid w:val="7FAC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18"/>
    <w:qFormat/>
    <w:uiPriority w:val="9"/>
    <w:pPr>
      <w:keepNext/>
      <w:keepLines/>
      <w:widowControl/>
      <w:spacing w:before="480" w:line="360" w:lineRule="auto"/>
      <w:jc w:val="left"/>
      <w:outlineLvl w:val="0"/>
    </w:pPr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paragraph" w:styleId="4">
    <w:name w:val="heading 2"/>
    <w:basedOn w:val="1"/>
    <w:next w:val="3"/>
    <w:link w:val="20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basedOn w:val="1"/>
    <w:qFormat/>
    <w:uiPriority w:val="0"/>
    <w:pPr>
      <w:kinsoku w:val="0"/>
      <w:spacing w:line="400" w:lineRule="atLeast"/>
      <w:ind w:firstLine="200" w:firstLineChars="200"/>
    </w:pPr>
    <w:rPr>
      <w:rFonts w:ascii="Times New Roman" w:hAnsi="Times New Roman" w:eastAsia="宋体" w:cs="Times New Roman"/>
      <w:szCs w:val="21"/>
      <w:lang w:val="en-GB"/>
    </w:r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7">
    <w:name w:val="Body Text Indent"/>
    <w:basedOn w:val="1"/>
    <w:link w:val="19"/>
    <w:qFormat/>
    <w:uiPriority w:val="0"/>
    <w:pPr>
      <w:spacing w:line="360" w:lineRule="auto"/>
      <w:ind w:firstLine="200" w:firstLineChars="200"/>
      <w:jc w:val="left"/>
    </w:pPr>
    <w:rPr>
      <w:rFonts w:ascii="宋体" w:hAnsi="宋体" w:eastAsia="宋体" w:cs="Times New Roman"/>
      <w:sz w:val="24"/>
      <w:szCs w:val="24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character" w:customStyle="1" w:styleId="19">
    <w:name w:val="正文文本缩进 字符"/>
    <w:basedOn w:val="16"/>
    <w:link w:val="7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20">
    <w:name w:val="标题 2 字符"/>
    <w:basedOn w:val="16"/>
    <w:link w:val="4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页眉 字符"/>
    <w:basedOn w:val="16"/>
    <w:link w:val="9"/>
    <w:qFormat/>
    <w:uiPriority w:val="99"/>
    <w:rPr>
      <w:sz w:val="18"/>
      <w:szCs w:val="18"/>
    </w:rPr>
  </w:style>
  <w:style w:type="character" w:customStyle="1" w:styleId="22">
    <w:name w:val="页脚 字符"/>
    <w:basedOn w:val="16"/>
    <w:link w:val="8"/>
    <w:qFormat/>
    <w:uiPriority w:val="99"/>
    <w:rPr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styleId="24">
    <w:name w:val="Placeholder Text"/>
    <w:basedOn w:val="16"/>
    <w:semiHidden/>
    <w:qFormat/>
    <w:uiPriority w:val="99"/>
    <w:rPr>
      <w:color w:val="808080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6">
    <w:name w:val="无间隔 字符"/>
    <w:basedOn w:val="16"/>
    <w:link w:val="25"/>
    <w:qFormat/>
    <w:uiPriority w:val="1"/>
    <w:rPr>
      <w:kern w:val="0"/>
      <w:sz w:val="22"/>
    </w:rPr>
  </w:style>
  <w:style w:type="character" w:customStyle="1" w:styleId="27">
    <w:name w:val="标题 3 字符"/>
    <w:basedOn w:val="16"/>
    <w:link w:val="5"/>
    <w:semiHidden/>
    <w:qFormat/>
    <w:uiPriority w:val="9"/>
    <w:rPr>
      <w:b/>
      <w:bCs/>
      <w:sz w:val="32"/>
      <w:szCs w:val="32"/>
    </w:rPr>
  </w:style>
  <w:style w:type="paragraph" w:customStyle="1" w:styleId="2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0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1">
    <w:name w:val="Table Paragraph"/>
    <w:basedOn w:val="1"/>
    <w:qFormat/>
    <w:uiPriority w:val="1"/>
    <w:pPr>
      <w:spacing w:before="57"/>
      <w:jc w:val="center"/>
    </w:pPr>
    <w:rPr>
      <w:rFonts w:ascii="宋体" w:hAnsi="宋体" w:eastAsia="宋体" w:cs="宋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155</Words>
  <Characters>885</Characters>
  <Lines>7</Lines>
  <Paragraphs>2</Paragraphs>
  <TotalTime>0</TotalTime>
  <ScaleCrop>false</ScaleCrop>
  <LinksUpToDate>false</LinksUpToDate>
  <CharactersWithSpaces>1038</CharactersWithSpaces>
  <Application>WPS Office_11.1.0.14252_F1E327BC-269C-435d-A152-05C5408002CA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2014-04-17T06:46:00Z</dcterms:created>
  <dc:creator>sukie</dc:creator>
  <cp:lastModifiedBy>薛翔</cp:lastModifiedBy>
  <cp:lastPrinted>2018-06-06T07:38:00Z</cp:lastPrinted>
  <dcterms:modified xsi:type="dcterms:W3CDTF">2024-03-14T10:10:55Z</dcterms:modified>
  <dc:title>ronglv</dc:title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2052-11.1.0.14252</vt:lpwstr>
  </property>
  <property fmtid="{D5CDD505-2E9C-101B-9397-08002B2CF9AE}" pid="3" name="ICV">
    <vt:lpwstr>0F6478D138444284B15F4FB47CCBD1FE_12</vt:lpwstr>
  </property>
</Properties>
</file>