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2049">
      <v:fill type="gradient" on="t" color2="#FFFFFF [3212]" focus="100%" focussize="0,0"/>
    </v:background>
  </w:background>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水韵小洲——可持续水乡活力中心</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广东-广州</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2024年01月06日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T17708473286</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14:ligatures w14:val="standardContextual"/>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"_Toc155437820" </w:instrText>
      </w:r>
      <w:r>
        <w:fldChar w:fldCharType="separate"/>
      </w:r>
      <w:r>
        <w:rPr>
          <w:rStyle w:val="26"/>
        </w:rPr>
        <w:t>1</w:t>
      </w:r>
      <w:r>
        <w:rPr>
          <w:rFonts w:asciiTheme="minorHAnsi" w:hAnsiTheme="minorHAnsi" w:eastAsiaTheme="minorEastAsia" w:cstheme="minorBidi"/>
          <w:b w:val="0"/>
          <w:bCs w:val="0"/>
          <w:szCs w:val="22"/>
          <w14:ligatures w14:val="standardContextual"/>
        </w:rPr>
        <w:tab/>
      </w:r>
      <w:r>
        <w:rPr>
          <w:rStyle w:val="26"/>
        </w:rPr>
        <w:t>项目概况</w:t>
      </w:r>
      <w:r>
        <w:tab/>
      </w:r>
      <w:r>
        <w:fldChar w:fldCharType="begin"/>
      </w:r>
      <w:r>
        <w:instrText xml:space="preserve"> PAGEREF _Toc155437820 \h </w:instrText>
      </w:r>
      <w:r>
        <w:fldChar w:fldCharType="separate"/>
      </w:r>
      <w:r>
        <w:t>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"_Toc155437821" </w:instrText>
      </w:r>
      <w:r>
        <w:fldChar w:fldCharType="separate"/>
      </w:r>
      <w:r>
        <w:rPr>
          <w:rStyle w:val="26"/>
          <w:lang w:val="en-GB"/>
        </w:rPr>
        <w:t>1.1</w:t>
      </w:r>
      <w:r>
        <w:rPr>
          <w:rFonts w:asciiTheme="minorHAnsi" w:hAnsiTheme="minorHAnsi" w:eastAsiaTheme="minorEastAsia" w:cstheme="minorBidi"/>
          <w:szCs w:val="22"/>
          <w14:ligatures w14:val="standardContextual"/>
        </w:rPr>
        <w:tab/>
      </w:r>
      <w:r>
        <w:rPr>
          <w:rStyle w:val="26"/>
        </w:rPr>
        <w:t>平面图</w:t>
      </w:r>
      <w:r>
        <w:tab/>
      </w:r>
      <w:r>
        <w:fldChar w:fldCharType="begin"/>
      </w:r>
      <w:r>
        <w:instrText xml:space="preserve"> PAGEREF _Toc155437821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"_Toc155437822" </w:instrText>
      </w:r>
      <w:r>
        <w:fldChar w:fldCharType="separate"/>
      </w:r>
      <w:r>
        <w:rPr>
          <w:rStyle w:val="26"/>
          <w:lang w:val="en-GB"/>
        </w:rPr>
        <w:t>1.2</w:t>
      </w:r>
      <w:r>
        <w:rPr>
          <w:rFonts w:asciiTheme="minorHAnsi" w:hAnsiTheme="minorHAnsi" w:eastAsiaTheme="minorEastAsia" w:cstheme="minorBidi"/>
          <w:szCs w:val="22"/>
          <w14:ligatures w14:val="standardContextual"/>
        </w:rPr>
        <w:tab/>
      </w:r>
      <w:r>
        <w:rPr>
          <w:rStyle w:val="26"/>
        </w:rPr>
        <w:t>三维视图</w:t>
      </w:r>
      <w:r>
        <w:tab/>
      </w:r>
      <w:r>
        <w:fldChar w:fldCharType="begin"/>
      </w:r>
      <w:r>
        <w:instrText xml:space="preserve"> PAGEREF _Toc155437822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"_Toc155437823" </w:instrText>
      </w:r>
      <w:r>
        <w:fldChar w:fldCharType="separate"/>
      </w:r>
      <w:r>
        <w:rPr>
          <w:rStyle w:val="26"/>
        </w:rPr>
        <w:t>2</w:t>
      </w:r>
      <w:r>
        <w:rPr>
          <w:rFonts w:asciiTheme="minorHAnsi" w:hAnsiTheme="minorHAnsi" w:eastAsiaTheme="minorEastAsia" w:cstheme="minorBidi"/>
          <w:b w:val="0"/>
          <w:bCs w:val="0"/>
          <w:szCs w:val="22"/>
          <w14:ligatures w14:val="standardContextual"/>
        </w:rPr>
        <w:tab/>
      </w:r>
      <w:r>
        <w:rPr>
          <w:rStyle w:val="26"/>
        </w:rPr>
        <w:t>计算依据</w:t>
      </w:r>
      <w:r>
        <w:tab/>
      </w:r>
      <w:r>
        <w:fldChar w:fldCharType="begin"/>
      </w:r>
      <w:r>
        <w:instrText xml:space="preserve"> PAGEREF _Toc155437823 \h </w:instrText>
      </w:r>
      <w:r>
        <w:fldChar w:fldCharType="separate"/>
      </w:r>
      <w:r>
        <w:t>7</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"_Toc155437824" </w:instrText>
      </w:r>
      <w:r>
        <w:fldChar w:fldCharType="separate"/>
      </w:r>
      <w:r>
        <w:rPr>
          <w:rStyle w:val="26"/>
        </w:rPr>
        <w:t>3</w:t>
      </w:r>
      <w:r>
        <w:rPr>
          <w:rFonts w:asciiTheme="minorHAnsi" w:hAnsiTheme="minorHAnsi" w:eastAsiaTheme="minorEastAsia" w:cstheme="minorBidi"/>
          <w:b w:val="0"/>
          <w:bCs w:val="0"/>
          <w:szCs w:val="22"/>
          <w14:ligatures w14:val="standardContextual"/>
        </w:rPr>
        <w:tab/>
      </w:r>
      <w:r>
        <w:rPr>
          <w:rStyle w:val="26"/>
        </w:rPr>
        <w:t>参考标准</w:t>
      </w:r>
      <w:r>
        <w:tab/>
      </w:r>
      <w:r>
        <w:fldChar w:fldCharType="begin"/>
      </w:r>
      <w:r>
        <w:instrText xml:space="preserve"> PAGEREF _Toc155437824 \h </w:instrText>
      </w:r>
      <w:r>
        <w:fldChar w:fldCharType="separate"/>
      </w:r>
      <w:r>
        <w:t>7</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"_Toc155437825" </w:instrText>
      </w:r>
      <w:r>
        <w:fldChar w:fldCharType="separate"/>
      </w:r>
      <w:r>
        <w:rPr>
          <w:rStyle w:val="26"/>
        </w:rPr>
        <w:t>4</w:t>
      </w:r>
      <w:r>
        <w:rPr>
          <w:rFonts w:asciiTheme="minorHAnsi" w:hAnsiTheme="minorHAnsi" w:eastAsiaTheme="minorEastAsia" w:cstheme="minorBidi"/>
          <w:b w:val="0"/>
          <w:bCs w:val="0"/>
          <w:szCs w:val="22"/>
          <w14:ligatures w14:val="standardContextual"/>
        </w:rPr>
        <w:tab/>
      </w:r>
      <w:r>
        <w:rPr>
          <w:rStyle w:val="26"/>
        </w:rPr>
        <w:t>计算方法</w:t>
      </w:r>
      <w:r>
        <w:tab/>
      </w:r>
      <w:r>
        <w:fldChar w:fldCharType="begin"/>
      </w:r>
      <w:r>
        <w:instrText xml:space="preserve"> PAGEREF _Toc155437825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"_Toc155437826" </w:instrText>
      </w:r>
      <w:r>
        <w:fldChar w:fldCharType="separate"/>
      </w:r>
      <w:r>
        <w:rPr>
          <w:rStyle w:val="26"/>
          <w:lang w:val="en-GB"/>
        </w:rPr>
        <w:t>4.1</w:t>
      </w:r>
      <w:r>
        <w:rPr>
          <w:rFonts w:asciiTheme="minorHAnsi" w:hAnsiTheme="minorHAnsi" w:eastAsiaTheme="minorEastAsia" w:cstheme="minorBidi"/>
          <w:szCs w:val="22"/>
          <w14:ligatures w14:val="standardContextual"/>
        </w:rPr>
        <w:tab/>
      </w:r>
      <w:r>
        <w:rPr>
          <w:rStyle w:val="26"/>
        </w:rPr>
        <w:t>CFD计算原理</w:t>
      </w:r>
      <w:r>
        <w:tab/>
      </w:r>
      <w:r>
        <w:fldChar w:fldCharType="begin"/>
      </w:r>
      <w:r>
        <w:instrText xml:space="preserve"> PAGEREF _Toc155437826 \h </w:instrText>
      </w:r>
      <w:r>
        <w:fldChar w:fldCharType="separate"/>
      </w:r>
      <w:r>
        <w:t>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"_Toc155437827" </w:instrText>
      </w:r>
      <w:r>
        <w:fldChar w:fldCharType="separate"/>
      </w:r>
      <w:r>
        <w:rPr>
          <w:rStyle w:val="26"/>
          <w:lang w:val="en-GB"/>
        </w:rPr>
        <w:t>4.1.1</w:t>
      </w:r>
      <w:r>
        <w:rPr>
          <w:rFonts w:asciiTheme="minorHAnsi" w:hAnsiTheme="minorHAnsi" w:eastAsiaTheme="minorEastAsia" w:cstheme="minorBidi"/>
          <w:szCs w:val="22"/>
          <w14:ligatures w14:val="standardContextual"/>
        </w:rPr>
        <w:tab/>
      </w:r>
      <w:r>
        <w:rPr>
          <w:rStyle w:val="26"/>
        </w:rPr>
        <w:t>湍流模型</w:t>
      </w:r>
      <w:r>
        <w:tab/>
      </w:r>
      <w:r>
        <w:fldChar w:fldCharType="begin"/>
      </w:r>
      <w:r>
        <w:instrText xml:space="preserve"> PAGEREF _Toc155437827 \h </w:instrText>
      </w:r>
      <w:r>
        <w:fldChar w:fldCharType="separate"/>
      </w:r>
      <w:r>
        <w:t>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"_Toc155437828" </w:instrText>
      </w:r>
      <w:r>
        <w:fldChar w:fldCharType="separate"/>
      </w:r>
      <w:r>
        <w:rPr>
          <w:rStyle w:val="26"/>
          <w:lang w:val="en-GB"/>
        </w:rPr>
        <w:t>4.1.2</w:t>
      </w:r>
      <w:r>
        <w:rPr>
          <w:rFonts w:asciiTheme="minorHAnsi" w:hAnsiTheme="minorHAnsi" w:eastAsiaTheme="minorEastAsia" w:cstheme="minorBidi"/>
          <w:szCs w:val="22"/>
          <w14:ligatures w14:val="standardContextual"/>
        </w:rPr>
        <w:tab/>
      </w:r>
      <w:r>
        <w:rPr>
          <w:rStyle w:val="26"/>
        </w:rPr>
        <w:t>边界条件</w:t>
      </w:r>
      <w:r>
        <w:tab/>
      </w:r>
      <w:r>
        <w:fldChar w:fldCharType="begin"/>
      </w:r>
      <w:r>
        <w:instrText xml:space="preserve"> PAGEREF _Toc155437828 \h </w:instrText>
      </w:r>
      <w:r>
        <w:fldChar w:fldCharType="separate"/>
      </w:r>
      <w:r>
        <w:t>8</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"_Toc155437829" </w:instrText>
      </w:r>
      <w:r>
        <w:fldChar w:fldCharType="separate"/>
      </w:r>
      <w:r>
        <w:rPr>
          <w:rStyle w:val="26"/>
          <w:lang w:val="en-GB"/>
        </w:rPr>
        <w:t>4.1.3</w:t>
      </w:r>
      <w:r>
        <w:rPr>
          <w:rFonts w:asciiTheme="minorHAnsi" w:hAnsiTheme="minorHAnsi" w:eastAsiaTheme="minorEastAsia" w:cstheme="minorBidi"/>
          <w:szCs w:val="22"/>
          <w14:ligatures w14:val="standardContextual"/>
        </w:rPr>
        <w:tab/>
      </w:r>
      <w:r>
        <w:rPr>
          <w:rStyle w:val="26"/>
        </w:rPr>
        <w:t>求解计算</w:t>
      </w:r>
      <w:r>
        <w:tab/>
      </w:r>
      <w:r>
        <w:fldChar w:fldCharType="begin"/>
      </w:r>
      <w:r>
        <w:instrText xml:space="preserve"> PAGEREF _Toc155437829 \h </w:instrText>
      </w:r>
      <w:r>
        <w:fldChar w:fldCharType="separate"/>
      </w:r>
      <w:r>
        <w:t>8</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"_Toc155437830" </w:instrText>
      </w:r>
      <w:r>
        <w:fldChar w:fldCharType="separate"/>
      </w:r>
      <w:r>
        <w:rPr>
          <w:rStyle w:val="26"/>
          <w:lang w:val="en-GB"/>
        </w:rPr>
        <w:t>4.2</w:t>
      </w:r>
      <w:r>
        <w:rPr>
          <w:rFonts w:asciiTheme="minorHAnsi" w:hAnsiTheme="minorHAnsi" w:eastAsiaTheme="minorEastAsia" w:cstheme="minorBidi"/>
          <w:szCs w:val="22"/>
          <w14:ligatures w14:val="standardContextual"/>
        </w:rPr>
        <w:tab/>
      </w:r>
      <w:r>
        <w:rPr>
          <w:rStyle w:val="26"/>
        </w:rPr>
        <w:t>热湿环境评价指标计算</w:t>
      </w:r>
      <w:r>
        <w:tab/>
      </w:r>
      <w:r>
        <w:fldChar w:fldCharType="begin"/>
      </w:r>
      <w:r>
        <w:instrText xml:space="preserve"> PAGEREF _Toc155437830 \h </w:instrText>
      </w:r>
      <w:r>
        <w:fldChar w:fldCharType="separate"/>
      </w:r>
      <w:r>
        <w:t>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"_Toc155437831" </w:instrText>
      </w:r>
      <w:r>
        <w:fldChar w:fldCharType="separate"/>
      </w:r>
      <w:r>
        <w:rPr>
          <w:rStyle w:val="26"/>
          <w:lang w:val="en-GB"/>
        </w:rPr>
        <w:t>4.2.1</w:t>
      </w:r>
      <w:r>
        <w:rPr>
          <w:rFonts w:asciiTheme="minorHAnsi" w:hAnsiTheme="minorHAnsi" w:eastAsiaTheme="minorEastAsia" w:cstheme="minorBidi"/>
          <w:szCs w:val="22"/>
          <w14:ligatures w14:val="standardContextual"/>
        </w:rPr>
        <w:tab/>
      </w:r>
      <w:r>
        <w:rPr>
          <w:rStyle w:val="26"/>
        </w:rPr>
        <w:t>PMV计算公式</w:t>
      </w:r>
      <w:r>
        <w:tab/>
      </w:r>
      <w:r>
        <w:fldChar w:fldCharType="begin"/>
      </w:r>
      <w:r>
        <w:instrText xml:space="preserve"> PAGEREF _Toc155437831 \h </w:instrText>
      </w:r>
      <w:r>
        <w:fldChar w:fldCharType="separate"/>
      </w:r>
      <w:r>
        <w:t>10</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"_Toc155437832" </w:instrText>
      </w:r>
      <w:r>
        <w:fldChar w:fldCharType="separate"/>
      </w:r>
      <w:r>
        <w:rPr>
          <w:rStyle w:val="26"/>
          <w:lang w:val="en-GB"/>
        </w:rPr>
        <w:t>4.2.2</w:t>
      </w:r>
      <w:r>
        <w:rPr>
          <w:rFonts w:asciiTheme="minorHAnsi" w:hAnsiTheme="minorHAnsi" w:eastAsiaTheme="minorEastAsia" w:cstheme="minorBidi"/>
          <w:szCs w:val="22"/>
          <w14:ligatures w14:val="standardContextual"/>
        </w:rPr>
        <w:tab/>
      </w:r>
      <w:r>
        <w:rPr>
          <w:rStyle w:val="26"/>
        </w:rPr>
        <w:t>PPD计算公式</w:t>
      </w:r>
      <w:r>
        <w:tab/>
      </w:r>
      <w:r>
        <w:fldChar w:fldCharType="begin"/>
      </w:r>
      <w:r>
        <w:instrText xml:space="preserve"> PAGEREF _Toc155437832 \h </w:instrText>
      </w:r>
      <w:r>
        <w:fldChar w:fldCharType="separate"/>
      </w:r>
      <w:r>
        <w:t>10</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"_Toc155437833" </w:instrText>
      </w:r>
      <w:r>
        <w:fldChar w:fldCharType="separate"/>
      </w:r>
      <w:r>
        <w:rPr>
          <w:rStyle w:val="26"/>
          <w:lang w:val="en-GB"/>
        </w:rPr>
        <w:t>4.2.3</w:t>
      </w:r>
      <w:r>
        <w:rPr>
          <w:rFonts w:asciiTheme="minorHAnsi" w:hAnsiTheme="minorHAnsi" w:eastAsiaTheme="minorEastAsia" w:cstheme="minorBidi"/>
          <w:szCs w:val="22"/>
          <w14:ligatures w14:val="standardContextual"/>
        </w:rPr>
        <w:tab/>
      </w:r>
      <w:r>
        <w:rPr>
          <w:rStyle w:val="26"/>
        </w:rPr>
        <w:t>PMV和PPD达标比例计算</w:t>
      </w:r>
      <w:r>
        <w:tab/>
      </w:r>
      <w:r>
        <w:fldChar w:fldCharType="begin"/>
      </w:r>
      <w:r>
        <w:instrText xml:space="preserve"> PAGEREF _Toc155437833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"_Toc155437834" </w:instrText>
      </w:r>
      <w:r>
        <w:fldChar w:fldCharType="separate"/>
      </w:r>
      <w:r>
        <w:rPr>
          <w:rStyle w:val="26"/>
        </w:rPr>
        <w:t>5</w:t>
      </w:r>
      <w:r>
        <w:rPr>
          <w:rFonts w:asciiTheme="minorHAnsi" w:hAnsiTheme="minorHAnsi" w:eastAsiaTheme="minorEastAsia" w:cstheme="minorBidi"/>
          <w:b w:val="0"/>
          <w:bCs w:val="0"/>
          <w:szCs w:val="22"/>
          <w14:ligatures w14:val="standardContextual"/>
        </w:rPr>
        <w:tab/>
      </w:r>
      <w:r>
        <w:rPr>
          <w:rStyle w:val="26"/>
        </w:rPr>
        <w:t>结果分析</w:t>
      </w:r>
      <w:r>
        <w:tab/>
      </w:r>
      <w:r>
        <w:fldChar w:fldCharType="begin"/>
      </w:r>
      <w:r>
        <w:instrText xml:space="preserve"> PAGEREF _Toc155437834 \h </w:instrText>
      </w:r>
      <w:r>
        <w:fldChar w:fldCharType="separate"/>
      </w:r>
      <w:r>
        <w:t>11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"_Toc155437835" </w:instrText>
      </w:r>
      <w:r>
        <w:fldChar w:fldCharType="separate"/>
      </w:r>
      <w:r>
        <w:rPr>
          <w:rStyle w:val="26"/>
          <w:lang w:val="en-GB"/>
        </w:rPr>
        <w:t>5.1</w:t>
      </w:r>
      <w:r>
        <w:rPr>
          <w:rFonts w:asciiTheme="minorHAnsi" w:hAnsiTheme="minorHAnsi" w:eastAsiaTheme="minorEastAsia" w:cstheme="minorBidi"/>
          <w:szCs w:val="22"/>
          <w14:ligatures w14:val="standardContextual"/>
        </w:rPr>
        <w:tab/>
      </w:r>
      <w:r>
        <w:rPr>
          <w:rStyle w:val="26"/>
        </w:rPr>
        <w:t>1层分析图</w:t>
      </w:r>
      <w:r>
        <w:tab/>
      </w:r>
      <w:r>
        <w:fldChar w:fldCharType="begin"/>
      </w:r>
      <w:r>
        <w:instrText xml:space="preserve"> PAGEREF _Toc155437835 \h </w:instrText>
      </w:r>
      <w:r>
        <w:fldChar w:fldCharType="separate"/>
      </w:r>
      <w:r>
        <w:t>12</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"_Toc155437836" </w:instrText>
      </w:r>
      <w:r>
        <w:fldChar w:fldCharType="separate"/>
      </w:r>
      <w:r>
        <w:rPr>
          <w:rStyle w:val="26"/>
          <w:lang w:val="en-GB"/>
        </w:rPr>
        <w:t>5.2</w:t>
      </w:r>
      <w:r>
        <w:rPr>
          <w:rFonts w:asciiTheme="minorHAnsi" w:hAnsiTheme="minorHAnsi" w:eastAsiaTheme="minorEastAsia" w:cstheme="minorBidi"/>
          <w:szCs w:val="22"/>
          <w14:ligatures w14:val="standardContextual"/>
        </w:rPr>
        <w:tab/>
      </w:r>
      <w:r>
        <w:rPr>
          <w:rStyle w:val="26"/>
        </w:rPr>
        <w:t>室内PMV与PPD达标比例统计</w:t>
      </w:r>
      <w:r>
        <w:tab/>
      </w:r>
      <w:r>
        <w:fldChar w:fldCharType="begin"/>
      </w:r>
      <w:r>
        <w:instrText xml:space="preserve"> PAGEREF _Toc155437836 \h </w:instrText>
      </w:r>
      <w:r>
        <w:fldChar w:fldCharType="separate"/>
      </w:r>
      <w:r>
        <w:t>14</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"_Toc155437837" </w:instrText>
      </w:r>
      <w:r>
        <w:fldChar w:fldCharType="separate"/>
      </w:r>
      <w:r>
        <w:rPr>
          <w:rStyle w:val="26"/>
        </w:rPr>
        <w:t>6</w:t>
      </w:r>
      <w:r>
        <w:rPr>
          <w:rFonts w:asciiTheme="minorHAnsi" w:hAnsiTheme="minorHAnsi" w:eastAsiaTheme="minorEastAsia" w:cstheme="minorBidi"/>
          <w:b w:val="0"/>
          <w:bCs w:val="0"/>
          <w:szCs w:val="22"/>
          <w14:ligatures w14:val="standardContextual"/>
        </w:rPr>
        <w:tab/>
      </w:r>
      <w:r>
        <w:rPr>
          <w:rStyle w:val="26"/>
        </w:rPr>
        <w:t>结论</w:t>
      </w:r>
      <w:r>
        <w:tab/>
      </w:r>
      <w:r>
        <w:fldChar w:fldCharType="begin"/>
      </w:r>
      <w:r>
        <w:instrText xml:space="preserve"> PAGEREF _Toc155437837 \h </w:instrText>
      </w:r>
      <w:r>
        <w:fldChar w:fldCharType="separate"/>
      </w:r>
      <w:r>
        <w:t>14</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pPr>
        <w:pStyle w:val="2"/>
      </w:pPr>
      <w:bookmarkStart w:id="11" w:name="_Toc155437820"/>
      <w:bookmarkStart w:id="12" w:name="_Toc452108759"/>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155437821"/>
      <w:bookmarkStart w:id="15" w:name="_Toc452108760"/>
      <w:bookmarkStart w:id="16" w:name="平面图2"/>
      <w:r>
        <w:t>平面图</w:t>
      </w:r>
      <w:bookmarkEnd w:id="14"/>
      <w:bookmarkEnd w:id="15"/>
    </w:p>
    <w:p>
      <w:pPr>
        <w:pStyle w:val="3"/>
        <w:ind w:firstLine="0" w:firstLineChars="0"/>
        <w:jc w:val="center"/>
        <w:rPr>
          <w:lang w:val="en-US"/>
        </w:rPr>
      </w:pPr>
      <w:bookmarkStart w:id="17" w:name="平面图"/>
      <w:bookmarkEnd w:id="17"/>
      <w:r>
        <w:drawing>
          <wp:inline distT="0" distB="0" distL="0" distR="0">
            <wp:extent cx="5667375" cy="67627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0"/>
                    <a:stretch>
                      <a:fillRect/>
                    </a:stretch>
                  </pic:blipFill>
                  <pic:spPr>
                    <a:xfrm>
                      <a:off x="0" y="0"/>
                      <a:ext cx="5667375" cy="676275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6800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1"/>
                    <a:stretch>
                      <a:fillRect/>
                    </a:stretch>
                  </pic:blipFill>
                  <pic:spPr>
                    <a:xfrm>
                      <a:off x="0" y="0"/>
                      <a:ext cx="5667375" cy="6800850"/>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49434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2"/>
                    <a:stretch>
                      <a:fillRect/>
                    </a:stretch>
                  </pic:blipFill>
                  <pic:spPr>
                    <a:xfrm>
                      <a:off x="0" y="0"/>
                      <a:ext cx="5667375" cy="4943475"/>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p>
    <w:bookmarkEnd w:id="16"/>
    <w:p>
      <w:pPr>
        <w:pStyle w:val="3"/>
        <w:ind w:firstLine="0" w:firstLineChars="0"/>
        <w:jc w:val="center"/>
        <w:rPr>
          <w:lang w:val="en-US"/>
        </w:rPr>
      </w:pPr>
    </w:p>
    <w:p>
      <w:pPr>
        <w:pStyle w:val="4"/>
      </w:pPr>
      <w:bookmarkStart w:id="18" w:name="_Toc155437822"/>
      <w:bookmarkStart w:id="19" w:name="_Toc452108761"/>
      <w:r>
        <w:rPr>
          <w:rFonts w:hint="eastAsia"/>
        </w:rPr>
        <w:t>三</w:t>
      </w:r>
      <w:r>
        <w:t>维视图</w:t>
      </w:r>
      <w:bookmarkEnd w:id="18"/>
      <w:bookmarkEnd w:id="19"/>
    </w:p>
    <w:p>
      <w:pPr>
        <w:pStyle w:val="3"/>
        <w:ind w:firstLine="0" w:firstLineChars="0"/>
        <w:jc w:val="center"/>
        <w:rPr>
          <w:lang w:val="en-US"/>
        </w:rPr>
      </w:pPr>
      <w:bookmarkStart w:id="20" w:name="模型观察"/>
      <w:bookmarkStart w:id="21" w:name="三维视图"/>
      <w:r>
        <w:t>请先在【模型观察】命令中保存图片</w:t>
      </w:r>
      <w:bookmarkEnd w:id="20"/>
      <w:bookmarkEnd w:id="21"/>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_Toc155437823"/>
      <w:bookmarkStart w:id="23" w:name="_Toc452108762"/>
      <w:bookmarkStart w:id="24" w:name="TitleFormat"/>
      <w:r>
        <w:rPr>
          <w:rFonts w:hint="eastAsia"/>
        </w:rPr>
        <w:t>计算</w:t>
      </w:r>
      <w:r>
        <w:t>依据</w:t>
      </w:r>
      <w:bookmarkEnd w:id="22"/>
      <w:bookmarkEnd w:id="23"/>
      <w:bookmarkEnd w:id="24"/>
    </w:p>
    <w:p>
      <w:pPr>
        <w:pStyle w:val="3"/>
        <w:ind w:firstLine="199" w:firstLineChars="95"/>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bookmarkStart w:id="26" w:name="参考标准名称1"/>
      <w:r>
        <w:rPr>
          <w:rFonts w:hint="eastAsia"/>
          <w:lang w:val="en-US"/>
        </w:rPr>
        <w:t>《绿色建筑评价标准》GB/T50378-2019</w:t>
      </w:r>
      <w:bookmarkEnd w:id="26"/>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9" w:name="_Toc155437824"/>
      <w:r>
        <w:rPr>
          <w:rFonts w:hint="eastAsia"/>
        </w:rPr>
        <w:t>参考</w:t>
      </w:r>
      <w:r>
        <w:t>标准</w:t>
      </w:r>
      <w:bookmarkEnd w:id="25"/>
      <w:bookmarkEnd w:id="29"/>
    </w:p>
    <w:p>
      <w:pPr>
        <w:pStyle w:val="3"/>
        <w:ind w:firstLine="420"/>
        <w:rPr>
          <w:lang w:val="en-US"/>
        </w:rPr>
      </w:pPr>
      <w:bookmarkStart w:id="30" w:name="_Toc452108764"/>
      <w:bookmarkStart w:id="31" w:name="_Toc451698935"/>
      <w:r>
        <w:rPr>
          <w:rFonts w:hint="eastAsia"/>
          <w:lang w:val="en-US"/>
        </w:rPr>
        <w:t>室内热湿环境评价的主要依据为</w:t>
      </w:r>
      <w:bookmarkStart w:id="32" w:name="参考标准名称2"/>
      <w:r>
        <w:rPr>
          <w:rFonts w:hint="eastAsia"/>
          <w:lang w:val="en-US"/>
        </w:rPr>
        <w:t>《绿色建筑评价标准》GB/T50378-2019</w:t>
      </w:r>
      <w:bookmarkEnd w:id="32"/>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33" w:name="_Toc155437825"/>
      <w:r>
        <w:rPr>
          <w:rFonts w:hint="eastAsia"/>
        </w:rPr>
        <w:t>计算</w:t>
      </w:r>
      <w:bookmarkEnd w:id="30"/>
      <w:bookmarkEnd w:id="31"/>
      <w:r>
        <w:rPr>
          <w:rFonts w:hint="eastAsia"/>
        </w:rPr>
        <w:t>方法</w:t>
      </w:r>
      <w:bookmarkEnd w:id="33"/>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4" w:name="_Toc155437826"/>
      <w:r>
        <w:t>CFD</w:t>
      </w:r>
      <w:r>
        <w:rPr>
          <w:rFonts w:hint="eastAsia"/>
        </w:rPr>
        <w:t>计算原理</w:t>
      </w:r>
      <w:bookmarkEnd w:id="34"/>
    </w:p>
    <w:p>
      <w:pPr>
        <w:pStyle w:val="5"/>
      </w:pPr>
      <w:bookmarkStart w:id="35" w:name="_Toc155437827"/>
      <w:r>
        <w:rPr>
          <w:rFonts w:hint="eastAsia"/>
        </w:rPr>
        <w:t>湍流模型</w:t>
      </w:r>
      <w:bookmarkEnd w:id="35"/>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6" w:name="_Toc8151"/>
      <w:bookmarkStart w:id="37" w:name="_Toc452108766"/>
      <w:bookmarkStart w:id="38" w:name="_Toc155437828"/>
      <w:bookmarkStart w:id="39" w:name="_Toc451698938"/>
      <w:r>
        <w:rPr>
          <w:rFonts w:hint="eastAsia"/>
        </w:rPr>
        <w:t>边界条件</w:t>
      </w:r>
      <w:bookmarkEnd w:id="36"/>
      <w:bookmarkEnd w:id="37"/>
      <w:bookmarkEnd w:id="38"/>
      <w:bookmarkEnd w:id="39"/>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40" w:name="_Toc155437829"/>
      <w:bookmarkStart w:id="41" w:name="_Toc23583"/>
      <w:bookmarkStart w:id="42" w:name="_Toc451698939"/>
      <w:bookmarkStart w:id="43" w:name="_Toc452108767"/>
      <w:r>
        <w:rPr>
          <w:rFonts w:hint="eastAsia"/>
        </w:rPr>
        <w:t>求解计算</w:t>
      </w:r>
      <w:bookmarkEnd w:id="40"/>
      <w:bookmarkEnd w:id="41"/>
      <w:bookmarkEnd w:id="42"/>
      <w:bookmarkEnd w:id="43"/>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4"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4"/>
      <w:r>
        <w:rPr>
          <w:rFonts w:hint="eastAsia" w:ascii="微软雅黑" w:hAnsi="微软雅黑" w:eastAsia="微软雅黑"/>
          <w:b/>
        </w:rPr>
        <w:t xml:space="preserve"> </w:t>
      </w:r>
      <w:bookmarkStart w:id="45" w:name="_Ref225175618"/>
      <w:r>
        <w:rPr>
          <w:rFonts w:hint="eastAsia" w:ascii="微软雅黑" w:hAnsi="微软雅黑" w:eastAsia="微软雅黑"/>
          <w:b/>
        </w:rPr>
        <w:t>计算流体力学的控制方程</w:t>
      </w:r>
      <w:bookmarkEnd w:id="45"/>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6" w:name="_Toc155437830"/>
      <w:r>
        <w:rPr>
          <w:rFonts w:hint="eastAsia"/>
        </w:rPr>
        <w:t>热湿环境评价</w:t>
      </w:r>
      <w:r>
        <w:t>指标</w:t>
      </w:r>
      <w:r>
        <w:rPr>
          <w:rFonts w:hint="eastAsia"/>
        </w:rPr>
        <w:t>计算</w:t>
      </w:r>
      <w:bookmarkEnd w:id="46"/>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Pr>
          <w:rFonts w:hint="eastAsia"/>
          <w:lang w:val="en-US"/>
        </w:rPr>
        <w:t>本项目采用《民用建筑室内热湿环境评价标准》GB/T 50785-2012中所示的计算程序完成上述PMV的计算。</w:t>
      </w:r>
    </w:p>
    <w:p>
      <w:pPr>
        <w:pStyle w:val="5"/>
      </w:pPr>
      <w:bookmarkStart w:id="48" w:name="_Toc155437831"/>
      <w:r>
        <w:t>PMV</w:t>
      </w:r>
      <w:r>
        <w:rPr>
          <w:rFonts w:hint="eastAsia"/>
        </w:rPr>
        <w:t>计算公式</w:t>
      </w:r>
      <w:bookmarkEnd w:id="48"/>
    </w:p>
    <w:bookmarkEnd w:id="47"/>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3">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10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9" w:name="_Toc155437832"/>
      <w:r>
        <w:t>PPD</w:t>
      </w:r>
      <w:r>
        <w:rPr>
          <w:rFonts w:hint="eastAsia"/>
        </w:rPr>
        <w:t>计算公式</w:t>
      </w:r>
      <w:bookmarkEnd w:id="49"/>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7">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50" w:name="_Toc155437833"/>
      <w:r>
        <w:rPr>
          <w:rFonts w:hint="eastAsia"/>
        </w:rPr>
        <w:t>PMV和PPD达标比例计算</w:t>
      </w:r>
      <w:bookmarkEnd w:id="50"/>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1" w:name="_Toc452108768"/>
      <w:bookmarkStart w:id="52" w:name="_Toc3745"/>
      <w:bookmarkStart w:id="53" w:name="_Toc155437834"/>
      <w:r>
        <w:rPr>
          <w:rFonts w:hint="eastAsia"/>
        </w:rPr>
        <w:t>结果</w:t>
      </w:r>
      <w:r>
        <w:t>分析</w:t>
      </w:r>
      <w:bookmarkEnd w:id="51"/>
      <w:bookmarkEnd w:id="52"/>
      <w:bookmarkEnd w:id="53"/>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4"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w:t>
            </w:r>
          </w:p>
        </w:tc>
        <w:tc>
          <w:tcPr>
            <w:tcW w:w="1104" w:type="dxa"/>
            <w:vAlign w:val="center"/>
          </w:tcPr>
          <w:p>
            <w:pPr>
              <w:pStyle w:val="3"/>
              <w:ind w:firstLine="0" w:firstLineChars="0"/>
            </w:pPr>
            <w:r>
              <w:t>30</w:t>
            </w:r>
          </w:p>
        </w:tc>
        <w:tc>
          <w:tcPr>
            <w:tcW w:w="1075" w:type="dxa"/>
          </w:tcPr>
          <w:p>
            <w:pPr>
              <w:pStyle w:val="3"/>
              <w:ind w:firstLine="0" w:firstLineChars="0"/>
            </w:pPr>
            <w:r>
              <w:t>1.4</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54"/>
    </w:tbl>
    <w:p>
      <w:pPr>
        <w:pStyle w:val="3"/>
        <w:ind w:firstLine="0" w:firstLineChars="0"/>
      </w:pPr>
    </w:p>
    <w:p>
      <w:pPr>
        <w:pStyle w:val="4"/>
      </w:pPr>
      <w:bookmarkStart w:id="55" w:name="_Toc155437835"/>
      <w:bookmarkStart w:id="56" w:name="分析对象名称"/>
      <w:r>
        <w:t>1层分析图</w:t>
      </w:r>
      <w:bookmarkEnd w:id="55"/>
      <w:bookmarkEnd w:id="56"/>
      <w:bookmarkStart w:id="57" w:name="_Toc451436145"/>
      <w:bookmarkStart w:id="58" w:name="_Toc451698937"/>
      <w:bookmarkStart w:id="59" w:name="_Toc452108765"/>
    </w:p>
    <w:p>
      <w:pPr>
        <w:pStyle w:val="3"/>
        <w:ind w:firstLine="420"/>
        <w:jc w:val="center"/>
        <w:rPr>
          <w:lang w:val="en-US"/>
        </w:rPr>
      </w:pPr>
      <w:bookmarkStart w:id="60" w:name="温度场分布"/>
      <w:bookmarkEnd w:id="60"/>
      <w:r>
        <w:drawing>
          <wp:inline distT="0" distB="0" distL="0" distR="0">
            <wp:extent cx="5667375" cy="3524250"/>
            <wp:effectExtent l="0" t="0" r="0" b="0"/>
            <wp:docPr id="773058307" name="图片 77305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58307" name="图片 773058307"/>
                    <pic:cNvPicPr>
                      <a:picLocks noChangeAspect="1"/>
                    </pic:cNvPicPr>
                  </pic:nvPicPr>
                  <pic:blipFill>
                    <a:blip r:embed="rId58"/>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bookmarkStart w:id="61" w:name="速度云图"/>
      <w:bookmarkEnd w:id="61"/>
      <w:r>
        <w:drawing>
          <wp:inline distT="0" distB="0" distL="0" distR="0">
            <wp:extent cx="5667375" cy="3524250"/>
            <wp:effectExtent l="0" t="0" r="0" b="0"/>
            <wp:docPr id="543958891" name="图片 54395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58891" name="图片 543958891"/>
                    <pic:cNvPicPr>
                      <a:picLocks noChangeAspect="1"/>
                    </pic:cNvPicPr>
                  </pic:nvPicPr>
                  <pic:blipFill>
                    <a:blip r:embed="rId59"/>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bookmarkStart w:id="62" w:name="PMV分布"/>
      <w:bookmarkEnd w:id="62"/>
      <w:r>
        <w:drawing>
          <wp:inline distT="0" distB="0" distL="0" distR="0">
            <wp:extent cx="5667375" cy="3524250"/>
            <wp:effectExtent l="0" t="0" r="0" b="0"/>
            <wp:docPr id="1146347031" name="图片 114634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47031" name="图片 1146347031"/>
                    <pic:cNvPicPr>
                      <a:picLocks noChangeAspect="1"/>
                    </pic:cNvPicPr>
                  </pic:nvPicPr>
                  <pic:blipFill>
                    <a:blip r:embed="rId60"/>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57"/>
    <w:bookmarkEnd w:id="58"/>
    <w:bookmarkEnd w:id="59"/>
    <w:p>
      <w:pPr>
        <w:pStyle w:val="3"/>
        <w:ind w:firstLine="420"/>
        <w:jc w:val="center"/>
        <w:rPr>
          <w:lang w:val="en-US"/>
        </w:rPr>
      </w:pPr>
      <w:bookmarkStart w:id="63" w:name="PPD分布"/>
      <w:bookmarkEnd w:id="63"/>
      <w:r>
        <w:drawing>
          <wp:inline distT="0" distB="0" distL="0" distR="0">
            <wp:extent cx="5667375" cy="35242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61"/>
                    <a:stretch>
                      <a:fillRect/>
                    </a:stretch>
                  </pic:blipFill>
                  <pic:spPr>
                    <a:xfrm>
                      <a:off x="0" y="0"/>
                      <a:ext cx="5667375" cy="3524250"/>
                    </a:xfrm>
                    <a:prstGeom prst="rect">
                      <a:avLst/>
                    </a:prstGeom>
                  </pic:spPr>
                </pic:pic>
              </a:graphicData>
            </a:graphic>
          </wp:inline>
        </w:drawing>
      </w:r>
      <w:bookmarkStart w:id="71" w:name="_GoBack"/>
      <w:bookmarkEnd w:id="71"/>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bookmarkStart w:id="64" w:name="LPD1分布"/>
      <w:bookmarkEnd w:id="64"/>
    </w:p>
    <w:p>
      <w:pPr>
        <w:pStyle w:val="3"/>
        <w:ind w:firstLine="420"/>
        <w:jc w:val="center"/>
      </w:pPr>
    </w:p>
    <w:p>
      <w:pPr>
        <w:pStyle w:val="3"/>
        <w:ind w:firstLine="0" w:firstLineChars="0"/>
        <w:rPr>
          <w:lang w:val="en-US"/>
        </w:rPr>
      </w:pPr>
      <w:bookmarkStart w:id="65" w:name="结果分析"/>
      <w:bookmarkEnd w:id="65"/>
    </w:p>
    <w:p>
      <w:pPr>
        <w:pStyle w:val="4"/>
      </w:pPr>
      <w:bookmarkStart w:id="66" w:name="_Toc155437836"/>
      <w:r>
        <w:rPr>
          <w:rFonts w:hint="eastAsia"/>
        </w:rPr>
        <w:t>室内PMV与PPD达标比例统计</w:t>
      </w:r>
      <w:bookmarkEnd w:id="66"/>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4"/>
        <w:gridCol w:w="973"/>
        <w:gridCol w:w="1103"/>
        <w:gridCol w:w="2621"/>
        <w:gridCol w:w="1387"/>
        <w:gridCol w:w="1109"/>
        <w:gridCol w:w="1659"/>
        <w:gridCol w:w="6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4" w:type="dxa"/>
            <w:shd w:val="clear" w:color="auto" w:fill="E6E6E6"/>
            <w:vAlign w:val="center"/>
          </w:tcPr>
          <w:p>
            <w:pPr>
              <w:jc w:val="center"/>
            </w:pPr>
            <w:r>
              <w:t>层号</w:t>
            </w:r>
          </w:p>
        </w:tc>
        <w:tc>
          <w:tcPr>
            <w:tcW w:w="973" w:type="dxa"/>
            <w:shd w:val="clear" w:color="auto" w:fill="E6E6E6"/>
            <w:vAlign w:val="center"/>
          </w:tcPr>
          <w:p>
            <w:pPr>
              <w:jc w:val="center"/>
            </w:pPr>
            <w:r>
              <w:t>户型</w:t>
            </w:r>
          </w:p>
        </w:tc>
        <w:tc>
          <w:tcPr>
            <w:tcW w:w="1103" w:type="dxa"/>
            <w:shd w:val="clear" w:color="auto" w:fill="E6E6E6"/>
            <w:vAlign w:val="center"/>
          </w:tcPr>
          <w:p>
            <w:pPr>
              <w:jc w:val="center"/>
            </w:pPr>
            <w:r>
              <w:t>房间编号</w:t>
            </w:r>
          </w:p>
        </w:tc>
        <w:tc>
          <w:tcPr>
            <w:tcW w:w="2621" w:type="dxa"/>
            <w:shd w:val="clear" w:color="auto" w:fill="E6E6E6"/>
            <w:vAlign w:val="center"/>
          </w:tcPr>
          <w:p>
            <w:pPr>
              <w:jc w:val="center"/>
            </w:pPr>
            <w:r>
              <w:t>房间名称</w:t>
            </w:r>
          </w:p>
        </w:tc>
        <w:tc>
          <w:tcPr>
            <w:tcW w:w="1387" w:type="dxa"/>
            <w:shd w:val="clear" w:color="auto" w:fill="E6E6E6"/>
            <w:vAlign w:val="center"/>
          </w:tcPr>
          <w:p>
            <w:pPr>
              <w:jc w:val="center"/>
            </w:pPr>
            <w:r>
              <w:t>PMV-PPD达标面积 (㎡)</w:t>
            </w:r>
          </w:p>
        </w:tc>
        <w:tc>
          <w:tcPr>
            <w:tcW w:w="1109" w:type="dxa"/>
            <w:shd w:val="clear" w:color="auto" w:fill="E6E6E6"/>
            <w:vAlign w:val="center"/>
          </w:tcPr>
          <w:p>
            <w:pPr>
              <w:jc w:val="center"/>
            </w:pPr>
            <w:r>
              <w:t>面积(㎡)</w:t>
            </w:r>
          </w:p>
        </w:tc>
        <w:tc>
          <w:tcPr>
            <w:tcW w:w="1659" w:type="dxa"/>
            <w:shd w:val="clear" w:color="auto" w:fill="E6E6E6"/>
            <w:vAlign w:val="center"/>
          </w:tcPr>
          <w:p>
            <w:pPr>
              <w:jc w:val="center"/>
            </w:pPr>
            <w:r>
              <w:t>PMV-PPD达标面积比例(%)</w:t>
            </w:r>
          </w:p>
        </w:tc>
        <w:tc>
          <w:tcPr>
            <w:tcW w:w="65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4" w:type="dxa"/>
            <w:vMerge w:val="restart"/>
            <w:vAlign w:val="center"/>
          </w:tcPr>
          <w:p>
            <w:r>
              <w:t>1层</w:t>
            </w:r>
          </w:p>
        </w:tc>
        <w:tc>
          <w:tcPr>
            <w:tcW w:w="973" w:type="dxa"/>
            <w:vAlign w:val="center"/>
          </w:tcPr>
          <w:p>
            <w:pPr>
              <w:rPr>
                <w:rFonts w:hint="eastAsia"/>
              </w:rPr>
            </w:pPr>
            <w:r>
              <w:rPr>
                <w:rFonts w:hint="eastAsia"/>
              </w:rPr>
              <w:t>1</w:t>
            </w:r>
            <w:r>
              <w:t>-A</w:t>
            </w:r>
          </w:p>
        </w:tc>
        <w:tc>
          <w:tcPr>
            <w:tcW w:w="1103" w:type="dxa"/>
            <w:vAlign w:val="center"/>
          </w:tcPr>
          <w:p>
            <w:pPr>
              <w:rPr>
                <w:rFonts w:hint="eastAsia"/>
              </w:rPr>
            </w:pPr>
            <w:r>
              <w:rPr>
                <w:rFonts w:hint="eastAsia"/>
              </w:rPr>
              <w:t>1</w:t>
            </w:r>
            <w:r>
              <w:t>001</w:t>
            </w:r>
          </w:p>
        </w:tc>
        <w:tc>
          <w:tcPr>
            <w:tcW w:w="2621" w:type="dxa"/>
            <w:vAlign w:val="center"/>
          </w:tcPr>
          <w:p>
            <w:pPr>
              <w:rPr>
                <w:rFonts w:hint="eastAsia"/>
              </w:rPr>
            </w:pPr>
            <w:r>
              <w:rPr>
                <w:rFonts w:hint="eastAsia"/>
              </w:rPr>
              <w:t>大堂</w:t>
            </w:r>
          </w:p>
        </w:tc>
        <w:tc>
          <w:tcPr>
            <w:tcW w:w="1387" w:type="dxa"/>
            <w:vAlign w:val="center"/>
          </w:tcPr>
          <w:p>
            <w:r>
              <w:rPr>
                <w:rFonts w:hint="eastAsia"/>
              </w:rPr>
              <w:t>7</w:t>
            </w:r>
            <w:r>
              <w:t>91.7</w:t>
            </w:r>
          </w:p>
        </w:tc>
        <w:tc>
          <w:tcPr>
            <w:tcW w:w="1109" w:type="dxa"/>
            <w:vAlign w:val="center"/>
          </w:tcPr>
          <w:p>
            <w:r>
              <w:rPr>
                <w:rFonts w:hint="eastAsia"/>
              </w:rPr>
              <w:t>8</w:t>
            </w:r>
            <w:r>
              <w:t>34.9</w:t>
            </w:r>
          </w:p>
        </w:tc>
        <w:tc>
          <w:tcPr>
            <w:tcW w:w="1659" w:type="dxa"/>
            <w:vAlign w:val="center"/>
          </w:tcPr>
          <w:p>
            <w:r>
              <w:t>94.82</w:t>
            </w:r>
          </w:p>
        </w:tc>
        <w:tc>
          <w:tcPr>
            <w:tcW w:w="656" w:type="dxa"/>
            <w:vAlign w:val="center"/>
          </w:tcPr>
          <w:p>
            <w:r>
              <w:rPr>
                <w:rFonts w:hint="eastAsia"/>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4" w:type="dxa"/>
            <w:vMerge w:val="continue"/>
            <w:vAlign w:val="center"/>
          </w:tcPr>
          <w:p/>
        </w:tc>
        <w:tc>
          <w:tcPr>
            <w:tcW w:w="973" w:type="dxa"/>
            <w:vAlign w:val="center"/>
          </w:tcPr>
          <w:p>
            <w:pPr>
              <w:rPr>
                <w:rFonts w:hint="eastAsia"/>
              </w:rPr>
            </w:pPr>
            <w:r>
              <w:rPr>
                <w:rFonts w:hint="eastAsia"/>
              </w:rPr>
              <w:t>1</w:t>
            </w:r>
            <w:r>
              <w:t>-A</w:t>
            </w:r>
          </w:p>
        </w:tc>
        <w:tc>
          <w:tcPr>
            <w:tcW w:w="1103" w:type="dxa"/>
            <w:vAlign w:val="center"/>
          </w:tcPr>
          <w:p>
            <w:pPr>
              <w:rPr>
                <w:rFonts w:hint="eastAsia"/>
              </w:rPr>
            </w:pPr>
            <w:r>
              <w:rPr>
                <w:rFonts w:hint="eastAsia"/>
              </w:rPr>
              <w:t>1</w:t>
            </w:r>
            <w:r>
              <w:t>002</w:t>
            </w:r>
          </w:p>
        </w:tc>
        <w:tc>
          <w:tcPr>
            <w:tcW w:w="2621" w:type="dxa"/>
            <w:vAlign w:val="center"/>
          </w:tcPr>
          <w:p>
            <w:pPr>
              <w:rPr>
                <w:rFonts w:hint="eastAsia"/>
              </w:rPr>
            </w:pPr>
            <w:r>
              <w:rPr>
                <w:rFonts w:hint="eastAsia"/>
              </w:rPr>
              <w:t>展览厅</w:t>
            </w:r>
          </w:p>
        </w:tc>
        <w:tc>
          <w:tcPr>
            <w:tcW w:w="1387" w:type="dxa"/>
            <w:vAlign w:val="center"/>
          </w:tcPr>
          <w:p>
            <w:r>
              <w:rPr>
                <w:rFonts w:hint="eastAsia"/>
              </w:rPr>
              <w:t>3</w:t>
            </w:r>
            <w:r>
              <w:t>86.2</w:t>
            </w:r>
          </w:p>
        </w:tc>
        <w:tc>
          <w:tcPr>
            <w:tcW w:w="1109" w:type="dxa"/>
            <w:vAlign w:val="center"/>
          </w:tcPr>
          <w:p>
            <w:pPr>
              <w:rPr>
                <w:rFonts w:hint="eastAsia"/>
              </w:rPr>
            </w:pPr>
            <w:r>
              <w:rPr>
                <w:rFonts w:hint="eastAsia"/>
              </w:rPr>
              <w:t>5</w:t>
            </w:r>
            <w:r>
              <w:t>10.3</w:t>
            </w:r>
          </w:p>
        </w:tc>
        <w:tc>
          <w:tcPr>
            <w:tcW w:w="1659" w:type="dxa"/>
            <w:vAlign w:val="center"/>
          </w:tcPr>
          <w:p>
            <w:r>
              <w:rPr>
                <w:lang w:val="en-US"/>
              </w:rPr>
              <w:t>75.68</w:t>
            </w:r>
          </w:p>
        </w:tc>
        <w:tc>
          <w:tcPr>
            <w:tcW w:w="656" w:type="dxa"/>
            <w:vAlign w:val="center"/>
          </w:tcPr>
          <w:p>
            <w:r>
              <w:rPr>
                <w:rFonts w:hint="eastAsia"/>
              </w:rP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4" w:type="dxa"/>
            <w:vMerge w:val="continue"/>
            <w:vAlign w:val="center"/>
          </w:tcPr>
          <w:p/>
        </w:tc>
        <w:tc>
          <w:tcPr>
            <w:tcW w:w="973" w:type="dxa"/>
            <w:vAlign w:val="center"/>
          </w:tcPr>
          <w:p>
            <w:r>
              <w:rPr>
                <w:rFonts w:hint="eastAsia"/>
              </w:rPr>
              <w:t>1</w:t>
            </w:r>
            <w:r>
              <w:t>-A</w:t>
            </w:r>
          </w:p>
        </w:tc>
        <w:tc>
          <w:tcPr>
            <w:tcW w:w="1103" w:type="dxa"/>
            <w:vAlign w:val="center"/>
          </w:tcPr>
          <w:p>
            <w:r>
              <w:rPr>
                <w:rFonts w:hint="eastAsia"/>
              </w:rPr>
              <w:t>1</w:t>
            </w:r>
            <w:r>
              <w:t>003</w:t>
            </w:r>
          </w:p>
        </w:tc>
        <w:tc>
          <w:tcPr>
            <w:tcW w:w="2621" w:type="dxa"/>
            <w:vAlign w:val="center"/>
          </w:tcPr>
          <w:p>
            <w:r>
              <w:rPr>
                <w:rFonts w:hint="eastAsia"/>
              </w:rPr>
              <w:t>办公室</w:t>
            </w:r>
          </w:p>
        </w:tc>
        <w:tc>
          <w:tcPr>
            <w:tcW w:w="1387" w:type="dxa"/>
            <w:vAlign w:val="center"/>
          </w:tcPr>
          <w:p>
            <w:r>
              <w:rPr>
                <w:rFonts w:hint="eastAsia"/>
              </w:rPr>
              <w:t>4</w:t>
            </w:r>
            <w:r>
              <w:t>57.8</w:t>
            </w:r>
          </w:p>
        </w:tc>
        <w:tc>
          <w:tcPr>
            <w:tcW w:w="1109" w:type="dxa"/>
            <w:vAlign w:val="center"/>
          </w:tcPr>
          <w:p>
            <w:r>
              <w:rPr>
                <w:rFonts w:hint="eastAsia"/>
              </w:rPr>
              <w:t>4</w:t>
            </w:r>
            <w:r>
              <w:t>64.9</w:t>
            </w:r>
          </w:p>
        </w:tc>
        <w:tc>
          <w:tcPr>
            <w:tcW w:w="1659" w:type="dxa"/>
            <w:vAlign w:val="center"/>
          </w:tcPr>
          <w:p>
            <w:r>
              <w:rPr>
                <w:rFonts w:hint="eastAsia"/>
              </w:rPr>
              <w:t>9</w:t>
            </w:r>
            <w:r>
              <w:t>8.48</w:t>
            </w:r>
          </w:p>
        </w:tc>
        <w:tc>
          <w:tcPr>
            <w:tcW w:w="656" w:type="dxa"/>
            <w:vAlign w:val="center"/>
          </w:tcPr>
          <w:p>
            <w:r>
              <w:rPr>
                <w:rFonts w:hint="eastAsia"/>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4" w:type="dxa"/>
            <w:vMerge w:val="continue"/>
            <w:vAlign w:val="center"/>
          </w:tcPr>
          <w:p/>
        </w:tc>
        <w:tc>
          <w:tcPr>
            <w:tcW w:w="973" w:type="dxa"/>
            <w:vAlign w:val="center"/>
          </w:tcPr>
          <w:p>
            <w:r>
              <w:rPr>
                <w:rFonts w:hint="eastAsia"/>
              </w:rPr>
              <w:t>1</w:t>
            </w:r>
            <w:r>
              <w:t>-B</w:t>
            </w:r>
          </w:p>
        </w:tc>
        <w:tc>
          <w:tcPr>
            <w:tcW w:w="1103" w:type="dxa"/>
            <w:vAlign w:val="center"/>
          </w:tcPr>
          <w:p>
            <w:r>
              <w:rPr>
                <w:rFonts w:hint="eastAsia"/>
              </w:rPr>
              <w:t>1</w:t>
            </w:r>
            <w:r>
              <w:t>005</w:t>
            </w:r>
          </w:p>
        </w:tc>
        <w:tc>
          <w:tcPr>
            <w:tcW w:w="2621" w:type="dxa"/>
            <w:vAlign w:val="center"/>
          </w:tcPr>
          <w:p>
            <w:r>
              <w:rPr>
                <w:rFonts w:hint="eastAsia"/>
              </w:rPr>
              <w:t>餐厅</w:t>
            </w:r>
          </w:p>
        </w:tc>
        <w:tc>
          <w:tcPr>
            <w:tcW w:w="1387" w:type="dxa"/>
            <w:vAlign w:val="center"/>
          </w:tcPr>
          <w:p>
            <w:r>
              <w:rPr>
                <w:rFonts w:hint="eastAsia"/>
              </w:rPr>
              <w:t>4</w:t>
            </w:r>
            <w:r>
              <w:t>59.1</w:t>
            </w:r>
          </w:p>
        </w:tc>
        <w:tc>
          <w:tcPr>
            <w:tcW w:w="1109" w:type="dxa"/>
            <w:vAlign w:val="center"/>
          </w:tcPr>
          <w:p>
            <w:r>
              <w:rPr>
                <w:rFonts w:hint="eastAsia"/>
              </w:rPr>
              <w:t>4</w:t>
            </w:r>
            <w:r>
              <w:t>59.1</w:t>
            </w:r>
          </w:p>
        </w:tc>
        <w:tc>
          <w:tcPr>
            <w:tcW w:w="1659" w:type="dxa"/>
            <w:vAlign w:val="center"/>
          </w:tcPr>
          <w:p>
            <w:r>
              <w:rPr>
                <w:rFonts w:hint="eastAsia"/>
              </w:rPr>
              <w:t>1</w:t>
            </w:r>
            <w:r>
              <w:t>00.00</w:t>
            </w:r>
          </w:p>
        </w:tc>
        <w:tc>
          <w:tcPr>
            <w:tcW w:w="656" w:type="dxa"/>
            <w:vAlign w:val="center"/>
          </w:tcPr>
          <w:p>
            <w:r>
              <w:rPr>
                <w:rFonts w:hint="eastAsia"/>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4" w:type="dxa"/>
            <w:vMerge w:val="continue"/>
            <w:vAlign w:val="center"/>
          </w:tcPr>
          <w:p/>
        </w:tc>
        <w:tc>
          <w:tcPr>
            <w:tcW w:w="973" w:type="dxa"/>
            <w:vAlign w:val="center"/>
          </w:tcPr>
          <w:p>
            <w:r>
              <w:t>1-C</w:t>
            </w:r>
          </w:p>
        </w:tc>
        <w:tc>
          <w:tcPr>
            <w:tcW w:w="1103" w:type="dxa"/>
            <w:vAlign w:val="center"/>
          </w:tcPr>
          <w:p>
            <w:r>
              <w:t>1007</w:t>
            </w:r>
          </w:p>
        </w:tc>
        <w:tc>
          <w:tcPr>
            <w:tcW w:w="2621" w:type="dxa"/>
            <w:vAlign w:val="center"/>
          </w:tcPr>
          <w:p>
            <w:r>
              <w:rPr>
                <w:rFonts w:hint="eastAsia"/>
              </w:rPr>
              <w:t>休息室</w:t>
            </w:r>
          </w:p>
        </w:tc>
        <w:tc>
          <w:tcPr>
            <w:tcW w:w="1387" w:type="dxa"/>
            <w:vAlign w:val="center"/>
          </w:tcPr>
          <w:p>
            <w:r>
              <w:t>89.5</w:t>
            </w:r>
          </w:p>
        </w:tc>
        <w:tc>
          <w:tcPr>
            <w:tcW w:w="1109" w:type="dxa"/>
            <w:vAlign w:val="center"/>
          </w:tcPr>
          <w:p>
            <w:r>
              <w:t>89.5</w:t>
            </w:r>
          </w:p>
        </w:tc>
        <w:tc>
          <w:tcPr>
            <w:tcW w:w="1659"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501" w:type="dxa"/>
            <w:gridSpan w:val="4"/>
            <w:vAlign w:val="center"/>
          </w:tcPr>
          <w:p>
            <w:r>
              <w:t>建筑PMV-PPD达标面积比例（%）</w:t>
            </w:r>
          </w:p>
        </w:tc>
        <w:tc>
          <w:tcPr>
            <w:tcW w:w="4811" w:type="dxa"/>
            <w:gridSpan w:val="4"/>
            <w:vAlign w:val="center"/>
          </w:tcPr>
          <w:p>
            <w:r>
              <w:t>92.61%</w:t>
            </w:r>
          </w:p>
        </w:tc>
      </w:tr>
    </w:tbl>
    <w:p>
      <w:pPr>
        <w:pStyle w:val="3"/>
        <w:ind w:firstLine="0" w:firstLineChars="0"/>
        <w:jc w:val="center"/>
        <w:rPr>
          <w:rFonts w:ascii="宋体" w:hAnsi="宋体" w:cs="宋体"/>
          <w:b/>
          <w:bCs/>
          <w:color w:val="333333"/>
          <w:sz w:val="24"/>
          <w:szCs w:val="22"/>
          <w:lang w:val="en-US"/>
        </w:rPr>
      </w:pPr>
      <w:bookmarkStart w:id="67" w:name="统计计算表表头"/>
      <w:bookmarkEnd w:id="67"/>
    </w:p>
    <w:p>
      <w:pPr>
        <w:spacing w:after="120"/>
        <w:rPr>
          <w:rFonts w:ascii="宋体" w:hAnsi="宋体" w:cs="宋体"/>
          <w:b/>
          <w:bCs/>
          <w:color w:val="333333"/>
          <w:sz w:val="24"/>
          <w:szCs w:val="22"/>
          <w:lang w:val="en-US"/>
        </w:rPr>
      </w:pPr>
      <w:bookmarkStart w:id="68" w:name="达标统计表"/>
      <w:bookmarkEnd w:id="68"/>
    </w:p>
    <w:p>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pPr>
        <w:pStyle w:val="2"/>
      </w:pPr>
      <w:bookmarkStart w:id="69" w:name="_Toc155437837"/>
      <w:r>
        <w:rPr>
          <w:rFonts w:hint="eastAsia"/>
        </w:rPr>
        <w:t>结论</w:t>
      </w:r>
      <w:bookmarkEnd w:id="69"/>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r>
        <w:t>92.61%</w:t>
      </w:r>
      <w:r>
        <w:rPr>
          <w:rFonts w:hint="eastAsia"/>
          <w:lang w:val="en-US"/>
        </w:rPr>
        <w:t>，根据绿标5.2.9，应得</w:t>
      </w:r>
      <w:bookmarkStart w:id="70" w:name="得分"/>
      <w:r>
        <w:rPr>
          <w:rFonts w:hint="eastAsia"/>
          <w:lang w:val="en-US"/>
        </w:rPr>
        <w:t>8</w:t>
      </w:r>
      <w:bookmarkEnd w:id="70"/>
      <w:r>
        <w:rPr>
          <w:rFonts w:hint="eastAsia"/>
          <w:lang w:val="en-US"/>
        </w:rPr>
        <w:t>分。</w:t>
      </w:r>
    </w:p>
    <w:p>
      <w:pPr>
        <w:pStyle w:val="3"/>
        <w:ind w:firstLine="420"/>
        <w:rPr>
          <w:lang w:val="en-US"/>
        </w:rPr>
      </w:pPr>
      <w:r>
        <w:rPr>
          <w:lang w:val="en-US"/>
        </w:rPr>
        <w:br w:type="page"/>
      </w:r>
    </w:p>
    <w:p>
      <w:pPr>
        <w:pStyle w:val="3"/>
        <w:ind w:firstLine="420"/>
        <w:rPr>
          <w:lang w:val="en-US"/>
        </w:rPr>
      </w:pPr>
    </w:p>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6</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3</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YWIzYTZlNDFhNDhiODRkM2RlOWY0MzgwOTNmYzMifQ=="/>
  </w:docVars>
  <w:rsids>
    <w:rsidRoot w:val="00E30FDD"/>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2F7117"/>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47462"/>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031A"/>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0FDD"/>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15959"/>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2429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autoRedefine/>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autoRedefine/>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autoRedefine/>
    <w:qFormat/>
    <w:uiPriority w:val="99"/>
    <w:rPr>
      <w:color w:val="0000FF"/>
      <w:u w:val="single"/>
    </w:rPr>
  </w:style>
  <w:style w:type="character" w:customStyle="1" w:styleId="27">
    <w:name w:val="标题 1 字符"/>
    <w:link w:val="2"/>
    <w:autoRedefine/>
    <w:qFormat/>
    <w:uiPriority w:val="0"/>
    <w:rPr>
      <w:b/>
      <w:bCs/>
      <w:kern w:val="32"/>
      <w:sz w:val="28"/>
      <w:szCs w:val="28"/>
    </w:rPr>
  </w:style>
  <w:style w:type="character" w:customStyle="1" w:styleId="28">
    <w:name w:val="标题 2 字符"/>
    <w:link w:val="4"/>
    <w:autoRedefine/>
    <w:qFormat/>
    <w:uiPriority w:val="0"/>
    <w:rPr>
      <w:rFonts w:ascii="宋体" w:cs="Arial"/>
      <w:b/>
      <w:bCs/>
      <w:iCs/>
      <w:color w:val="000000"/>
      <w:sz w:val="24"/>
      <w:szCs w:val="24"/>
    </w:rPr>
  </w:style>
  <w:style w:type="character" w:customStyle="1" w:styleId="29">
    <w:name w:val="页脚 字符"/>
    <w:link w:val="17"/>
    <w:autoRedefine/>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numbering" Target="numbering.xml"/><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wmf"/><Relationship Id="rId54" Type="http://schemas.openxmlformats.org/officeDocument/2006/relationships/oleObject" Target="embeddings/oleObject1.bin"/><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68C4-D7CC-4124-BB00-E45C74A53349}">
  <ds:schemaRefs/>
</ds:datastoreItem>
</file>

<file path=docProps/app.xml><?xml version="1.0" encoding="utf-8"?>
<Properties xmlns="http://schemas.openxmlformats.org/officeDocument/2006/extended-properties" xmlns:vt="http://schemas.openxmlformats.org/officeDocument/2006/docPropsVTypes">
  <Template>tmp6</Template>
  <Company>ths</Company>
  <Pages>15</Pages>
  <Words>781</Words>
  <Characters>4456</Characters>
  <Lines>37</Lines>
  <Paragraphs>10</Paragraphs>
  <TotalTime>89</TotalTime>
  <ScaleCrop>false</ScaleCrop>
  <LinksUpToDate>false</LinksUpToDate>
  <CharactersWithSpaces>5227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2024-01-06T04:50:00Z</dcterms:created>
  <dc:creator>111</dc:creator>
  <cp:lastModifiedBy>111</cp:lastModifiedBy>
  <cp:lastPrinted>1900-12-31T16:00:00Z</cp:lastPrinted>
  <dcterms:modified xsi:type="dcterms:W3CDTF">2024-01-06T06:32:16Z</dcterms:modified>
  <dc:title>室内热湿环境预计达标比例报告书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A6C2DE90FC6F4B208C6B8D50340154CC_12</vt:lpwstr>
  </property>
</Properties>
</file>