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ascii="宋体" w:hAnsi="宋体"/>
                <w:sz w:val="21"/>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ascii="宋体" w:hAnsi="宋体"/>
                <w:sz w:val="21"/>
                <w:szCs w:val="21"/>
              </w:rPr>
            </w:pPr>
            <w:r>
              <w:rPr>
                <w:rFonts w:hint="eastAsia" w:ascii="宋体" w:hAnsi="宋体"/>
                <w:szCs w:val="21"/>
                <w:lang w:val="en-US" w:eastAsia="zh-CN"/>
              </w:rPr>
              <w:t>天津</w:t>
            </w:r>
            <w:bookmarkStart w:id="35" w:name="_GoBack"/>
            <w:bookmarkEnd w:id="3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ascii="宋体" w:hAnsi="宋体"/>
                <w:sz w:val="21"/>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4" w:name="设计日期"/>
            <w:bookmarkEnd w:id="4"/>
          </w:p>
        </w:tc>
      </w:tr>
    </w:tbl>
    <w:p>
      <w:pPr>
        <w:spacing w:line="240" w:lineRule="auto"/>
        <w:rPr>
          <w:rFonts w:ascii="宋体" w:hAnsi="宋体"/>
          <w:lang w:val="en-US"/>
        </w:rPr>
      </w:pPr>
    </w:p>
    <w:p>
      <w:pPr>
        <w:spacing w:line="240" w:lineRule="auto"/>
        <w:jc w:val="center"/>
        <w:rPr>
          <w:rFonts w:ascii="宋体" w:hAnsi="宋体"/>
          <w:b/>
          <w:bCs/>
          <w:sz w:val="30"/>
          <w:szCs w:val="32"/>
        </w:rPr>
      </w:pPr>
      <w:bookmarkStart w:id="5" w:name="二维码"/>
      <w:bookmarkEnd w:id="5"/>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bookmarkStart w:id="6" w:name="采用软件"/>
            <w:r>
              <w:rPr>
                <w:rFonts w:hint="eastAsia" w:ascii="宋体" w:hAnsi="宋体"/>
              </w:rPr>
              <w:t>建筑通风Vent2023</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rPr>
                <w:rFonts w:ascii="宋体" w:hAnsi="宋体"/>
                <w:szCs w:val="18"/>
              </w:rPr>
              <w:t>20220808（SP1）</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T15268567223</w:t>
            </w:r>
            <w:bookmarkEnd w:id="8"/>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9" w:name="_Toc420663548"/>
      <w:bookmarkStart w:id="10" w:name="_Toc420309360"/>
      <w:r>
        <w:rPr>
          <w:rFonts w:hint="eastAsia"/>
        </w:rPr>
        <w:t>建筑概况</w:t>
      </w:r>
      <w:bookmarkEnd w:id="9"/>
      <w:bookmarkEnd w:id="10"/>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1" w:name="工程名称2"/>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2" w:name="工程地点2"/>
            <w:r>
              <w:rPr>
                <w:rFonts w:hint="eastAsia" w:ascii="宋体" w:hAnsi="宋体"/>
              </w:rPr>
              <w:t>北京</w:t>
            </w:r>
            <w:bookmarkEnd w:id="12"/>
          </w:p>
        </w:tc>
      </w:tr>
    </w:tbl>
    <w:p>
      <w:pPr>
        <w:pStyle w:val="3"/>
        <w:ind w:firstLine="420"/>
      </w:pPr>
      <w:bookmarkStart w:id="13" w:name="项目概况"/>
      <w:bookmarkEnd w:id="13"/>
      <w:bookmarkStart w:id="14" w:name="_Toc420309361"/>
      <w:bookmarkStart w:id="15" w:name="_Toc420663549"/>
    </w:p>
    <w:p>
      <w:pPr>
        <w:pStyle w:val="2"/>
      </w:pPr>
      <w:bookmarkStart w:id="16" w:name="TitleFormat"/>
      <w:r>
        <w:rPr>
          <w:rFonts w:hint="eastAsia"/>
        </w:rPr>
        <w:t>计算依据</w:t>
      </w:r>
      <w:bookmarkEnd w:id="14"/>
      <w:bookmarkEnd w:id="15"/>
    </w:p>
    <w:bookmarkEnd w:id="16"/>
    <w:p>
      <w:pPr>
        <w:widowControl w:val="0"/>
        <w:spacing w:line="240" w:lineRule="auto"/>
        <w:jc w:val="both"/>
        <w:rPr>
          <w:kern w:val="2"/>
          <w:sz w:val="21"/>
          <w:szCs w:val="24"/>
          <w:lang w:val="en-US"/>
        </w:rPr>
      </w:pPr>
      <w:bookmarkStart w:id="17" w:name="计算依据"/>
      <w:bookmarkEnd w:id="17"/>
      <w:r>
        <w:rPr>
          <w:rFonts w:hint="eastAsia"/>
          <w:kern w:val="2"/>
          <w:sz w:val="21"/>
          <w:szCs w:val="24"/>
          <w:lang w:val="en-US"/>
        </w:rPr>
        <w:t xml:space="preserve">1. </w:t>
      </w:r>
      <w:bookmarkStart w:id="18" w:name="参考标准名称1"/>
      <w:r>
        <w:rPr>
          <w:rFonts w:hint="eastAsia"/>
          <w:kern w:val="2"/>
          <w:sz w:val="21"/>
          <w:szCs w:val="24"/>
          <w:lang w:val="en-US"/>
        </w:rPr>
        <w:t>《绿色建筑评价标准》GB/T50378-2019</w:t>
      </w:r>
      <w:bookmarkEnd w:id="18"/>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pPr>
        <w:pStyle w:val="2"/>
        <w:rPr>
          <w:kern w:val="2"/>
        </w:rPr>
      </w:pPr>
      <w:bookmarkStart w:id="20" w:name="_Toc420663550"/>
      <w:r>
        <w:rPr>
          <w:rFonts w:hint="eastAsia"/>
          <w:kern w:val="2"/>
        </w:rPr>
        <w:t>参考</w:t>
      </w:r>
      <w:r>
        <w:rPr>
          <w:kern w:val="2"/>
        </w:rPr>
        <w:t>标准</w:t>
      </w:r>
      <w:bookmarkEnd w:id="20"/>
    </w:p>
    <w:p>
      <w:pPr>
        <w:pStyle w:val="3"/>
        <w:ind w:firstLine="420"/>
        <w:rPr>
          <w:kern w:val="2"/>
          <w:szCs w:val="24"/>
          <w:lang w:val="en-US"/>
        </w:rPr>
      </w:pPr>
      <w:bookmarkStart w:id="21" w:name="参考标准名称2"/>
      <w:bookmarkStart w:id="22" w:name="_Toc420663551"/>
      <w:r>
        <w:rPr>
          <w:rFonts w:hint="eastAsia"/>
          <w:kern w:val="2"/>
          <w:szCs w:val="24"/>
          <w:lang w:val="en-US"/>
        </w:rPr>
        <w:t>《绿色建筑评价标准》GB/T50378-2019</w:t>
      </w:r>
      <w:bookmarkEnd w:id="21"/>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3" w:name="OLE_LINK4"/>
      <w:bookmarkStart w:id="24" w:name="OLE_LINK3"/>
      <w:r>
        <w:rPr>
          <w:rFonts w:hint="eastAsia" w:ascii="Arial" w:hAnsi="Arial" w:eastAsia="黑体" w:cs="Arial"/>
          <w:kern w:val="2"/>
          <w:sz w:val="20"/>
          <w:szCs w:val="18"/>
          <w:lang w:val="en-US"/>
        </w:rPr>
        <w:t>表1 公共建筑过渡季节典型工况下主要功能房间自然通风评分规则</w:t>
      </w:r>
    </w:p>
    <w:bookmarkEnd w:id="23"/>
    <w:bookmarkEnd w:id="24"/>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2"/>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5"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6" w:name="面积分子"/>
            <w:r>
              <w:rPr>
                <w:rFonts w:hint="eastAsia"/>
                <w:kern w:val="2"/>
                <w:sz w:val="21"/>
                <w:szCs w:val="24"/>
                <w:lang w:val="en-US"/>
              </w:rPr>
              <w:t>1653.21</w:t>
            </w:r>
            <w:bookmarkEnd w:id="26"/>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分母"/>
            <w:r>
              <w:rPr>
                <w:rFonts w:hint="eastAsia"/>
                <w:kern w:val="2"/>
                <w:sz w:val="21"/>
                <w:szCs w:val="24"/>
                <w:lang w:val="en-US"/>
              </w:rPr>
              <w:t>1653.21</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8" w:name="面积比"/>
            <w:r>
              <w:rPr>
                <w:rFonts w:hint="eastAsia"/>
                <w:kern w:val="2"/>
                <w:sz w:val="21"/>
                <w:szCs w:val="24"/>
                <w:lang w:val="en-US"/>
              </w:rPr>
              <w:t>100.00</w:t>
            </w:r>
            <w:bookmarkEnd w:id="28"/>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5"/>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W w:w="2280" w:type="dxa"/>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29" w:name="房间表"/>
            <w:r>
              <w:rPr>
                <w:rFonts w:hint="eastAsia" w:ascii="宋体" w:hAnsi="宋体" w:cs="宋体"/>
                <w:color w:val="000000"/>
                <w:szCs w:val="18"/>
                <w:lang w:val="en-US"/>
              </w:rPr>
              <w:t>分类</w:t>
            </w:r>
          </w:p>
        </w:tc>
        <w:tc>
          <w:tcPr>
            <w:tcW w:w="760"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W w:w="760"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W w:w="987"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1001[食堂]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1365.34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325.08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38.74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83.16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19.80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75.60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1004[会议室]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141.12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33.60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1006[门厅]</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885.53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210.84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83.85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1008[超市]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246.08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58.59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111.17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1010[操作间]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481.57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114.66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38.25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1016[操作间]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44.98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1017[操作间]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44.98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18.66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2002[棋牌室]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110.60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10.10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2003[棋牌室]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110.60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2004[工艺室]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110.60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2005[手工室]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110.60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9.01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2006[手工室]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110.60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8.58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2008[音乐室]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194.48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2012[舞蹈室]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241.54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57.51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24.11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2014[乒乓球室]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285.77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68.04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18.81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2015[台球室]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142.88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34.02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22.24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2016[台球室]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142.88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34.02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15.27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2017[健身房]</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217.73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51.84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3002[康复室]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394.84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94.01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3009[药房]</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241.54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57.51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21.64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3011[医疗室]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142.88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34.02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32.74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3012[医疗室]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142.88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34.02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41.11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3013[理疗室]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142.88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34.02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33.48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3014[理疗室]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142.88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34.02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22.11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3015[理疗室]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217.73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51.84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4004[阅览室]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26.18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4006[书画室]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241.54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57.51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18.40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29"/>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30" w:name="工程名称5"/>
      <w:bookmarkEnd w:id="30"/>
      <w:bookmarkStart w:id="31" w:name="总结论"/>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3" w:name="面积比2"/>
      <w:r>
        <w:rPr>
          <w:rFonts w:hint="eastAsia"/>
          <w:kern w:val="2"/>
          <w:szCs w:val="24"/>
          <w:lang w:val="en-US"/>
        </w:rPr>
        <w:t>100.00</w:t>
      </w:r>
      <w:bookmarkEnd w:id="33"/>
      <w:r>
        <w:rPr>
          <w:kern w:val="2"/>
          <w:szCs w:val="24"/>
          <w:lang w:val="en-US"/>
        </w:rPr>
        <w:t>%</w:t>
      </w:r>
      <w:r>
        <w:rPr>
          <w:rFonts w:hint="eastAsia"/>
          <w:kern w:val="2"/>
          <w:szCs w:val="24"/>
          <w:lang w:val="en-US"/>
        </w:rPr>
        <w:t>，</w:t>
      </w:r>
      <w:bookmarkEnd w:id="31"/>
      <w:r>
        <w:rPr>
          <w:rFonts w:hint="eastAsia"/>
          <w:kern w:val="2"/>
          <w:szCs w:val="24"/>
          <w:lang w:val="en-US"/>
        </w:rPr>
        <w:t>按照绿标5.2.10条款</w:t>
      </w:r>
      <w:r>
        <w:rPr>
          <w:kern w:val="2"/>
          <w:szCs w:val="24"/>
          <w:lang w:val="en-US"/>
        </w:rPr>
        <w:t>要求得</w:t>
      </w:r>
      <w:bookmarkStart w:id="34" w:name="得分"/>
      <w:r>
        <w:rPr>
          <w:rFonts w:hint="eastAsia"/>
          <w:kern w:val="2"/>
          <w:szCs w:val="24"/>
          <w:lang w:val="en-US"/>
        </w:rPr>
        <w:t>8.0</w:t>
      </w:r>
      <w:bookmarkEnd w:id="34"/>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ENT2022</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0MmNiM2M0Nzk5MWFhZWMxNjhiMGE4ODFlYTZjMDkifQ=="/>
  </w:docVars>
  <w:rsids>
    <w:rsidRoot w:val="00E4382E"/>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C7365"/>
    <w:rsid w:val="00B35FE6"/>
    <w:rsid w:val="00B609BE"/>
    <w:rsid w:val="00B75415"/>
    <w:rsid w:val="00BA40F1"/>
    <w:rsid w:val="00BB00D4"/>
    <w:rsid w:val="00BB06E3"/>
    <w:rsid w:val="00C05351"/>
    <w:rsid w:val="00C9229B"/>
    <w:rsid w:val="00CF1333"/>
    <w:rsid w:val="00D116EB"/>
    <w:rsid w:val="00D160E9"/>
    <w:rsid w:val="00D25428"/>
    <w:rsid w:val="00D2798E"/>
    <w:rsid w:val="00D776D5"/>
    <w:rsid w:val="00DA5C56"/>
    <w:rsid w:val="00DC1940"/>
    <w:rsid w:val="00DC1ED2"/>
    <w:rsid w:val="00E4382E"/>
    <w:rsid w:val="00E513D4"/>
    <w:rsid w:val="00F138C8"/>
    <w:rsid w:val="00F31AAA"/>
    <w:rsid w:val="00F541C9"/>
    <w:rsid w:val="00F7186B"/>
    <w:rsid w:val="00F74333"/>
    <w:rsid w:val="00FC1684"/>
    <w:rsid w:val="00FD73EC"/>
    <w:rsid w:val="00FF70E7"/>
    <w:rsid w:val="207D3D23"/>
    <w:rsid w:val="73E80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autoRedefine/>
    <w:qFormat/>
    <w:uiPriority w:val="0"/>
    <w:pPr>
      <w:keepNext/>
      <w:numPr>
        <w:ilvl w:val="3"/>
        <w:numId w:val="1"/>
      </w:numPr>
      <w:spacing w:before="240" w:after="60"/>
      <w:outlineLvl w:val="3"/>
    </w:pPr>
    <w:rPr>
      <w:b/>
      <w:bCs/>
      <w:sz w:val="21"/>
      <w:szCs w:val="28"/>
    </w:rPr>
  </w:style>
  <w:style w:type="paragraph" w:styleId="7">
    <w:name w:val="heading 5"/>
    <w:basedOn w:val="1"/>
    <w:next w:val="1"/>
    <w:link w:val="24"/>
    <w:autoRedefine/>
    <w:qFormat/>
    <w:uiPriority w:val="0"/>
    <w:pPr>
      <w:numPr>
        <w:ilvl w:val="4"/>
        <w:numId w:val="1"/>
      </w:numPr>
      <w:spacing w:before="240" w:after="60"/>
      <w:outlineLvl w:val="4"/>
    </w:pPr>
    <w:rPr>
      <w:b/>
      <w:bCs/>
      <w:iCs/>
      <w:sz w:val="21"/>
      <w:szCs w:val="26"/>
    </w:rPr>
  </w:style>
  <w:style w:type="paragraph" w:styleId="8">
    <w:name w:val="heading 6"/>
    <w:basedOn w:val="1"/>
    <w:next w:val="1"/>
    <w:link w:val="25"/>
    <w:autoRedefine/>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autoRedefine/>
    <w:qFormat/>
    <w:uiPriority w:val="0"/>
    <w:pPr>
      <w:numPr>
        <w:ilvl w:val="7"/>
        <w:numId w:val="1"/>
      </w:numPr>
      <w:spacing w:before="240" w:after="60"/>
      <w:outlineLvl w:val="7"/>
    </w:pPr>
    <w:rPr>
      <w:i/>
      <w:iCs/>
      <w:sz w:val="24"/>
      <w:szCs w:val="24"/>
    </w:rPr>
  </w:style>
  <w:style w:type="paragraph" w:styleId="11">
    <w:name w:val="heading 9"/>
    <w:basedOn w:val="1"/>
    <w:next w:val="1"/>
    <w:link w:val="28"/>
    <w:autoRedefine/>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autoRedefine/>
    <w:semiHidden/>
    <w:unhideWhenUsed/>
    <w:qFormat/>
    <w:uiPriority w:val="1"/>
  </w:style>
  <w:style w:type="table" w:default="1" w:styleId="16">
    <w:name w:val="Normal Table"/>
    <w:autoRedefine/>
    <w:semiHidden/>
    <w:unhideWhenUsed/>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autoRedefine/>
    <w:semiHidden/>
    <w:unhideWhenUsed/>
    <w:qFormat/>
    <w:uiPriority w:val="99"/>
    <w:pPr>
      <w:spacing w:line="240" w:lineRule="auto"/>
    </w:pPr>
    <w:rPr>
      <w:szCs w:val="18"/>
    </w:rPr>
  </w:style>
  <w:style w:type="paragraph" w:styleId="13">
    <w:name w:val="footer"/>
    <w:basedOn w:val="1"/>
    <w:link w:val="30"/>
    <w:autoRedefine/>
    <w:qFormat/>
    <w:uiPriority w:val="99"/>
    <w:pPr>
      <w:tabs>
        <w:tab w:val="center" w:pos="4153"/>
        <w:tab w:val="right" w:pos="8306"/>
      </w:tabs>
      <w:snapToGrid w:val="0"/>
    </w:pPr>
    <w:rPr>
      <w:szCs w:val="18"/>
    </w:rPr>
  </w:style>
  <w:style w:type="paragraph" w:styleId="14">
    <w:name w:val="header"/>
    <w:basedOn w:val="1"/>
    <w:link w:val="29"/>
    <w:autoRedefine/>
    <w:qFormat/>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qFormat/>
    <w:uiPriority w:val="39"/>
    <w:pPr>
      <w:tabs>
        <w:tab w:val="left" w:leader="dot" w:pos="180"/>
        <w:tab w:val="left" w:pos="420"/>
        <w:tab w:val="right" w:leader="dot" w:pos="9360"/>
      </w:tabs>
    </w:pPr>
    <w:rPr>
      <w:b/>
      <w:bCs/>
      <w:kern w:val="2"/>
      <w:sz w:val="21"/>
      <w:szCs w:val="24"/>
      <w:lang w:val="en-US"/>
    </w:rPr>
  </w:style>
  <w:style w:type="table" w:styleId="17">
    <w:name w:val="Table Grid"/>
    <w:basedOn w:val="16"/>
    <w:autoRedefine/>
    <w:qFormat/>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autoRedefine/>
    <w:qFormat/>
    <w:uiPriority w:val="99"/>
    <w:rPr>
      <w:color w:val="0000FF"/>
      <w:u w:val="single"/>
    </w:rPr>
  </w:style>
  <w:style w:type="character" w:customStyle="1" w:styleId="20">
    <w:name w:val="标题 1 字符"/>
    <w:link w:val="2"/>
    <w:qFormat/>
    <w:uiPriority w:val="0"/>
    <w:rPr>
      <w:rFonts w:ascii="Times New Roman" w:hAnsi="Times New Roman" w:eastAsia="宋体" w:cs="Times New Roman"/>
      <w:b/>
      <w:bCs/>
      <w:kern w:val="32"/>
      <w:sz w:val="28"/>
      <w:szCs w:val="28"/>
    </w:rPr>
  </w:style>
  <w:style w:type="character" w:customStyle="1" w:styleId="21">
    <w:name w:val="标题 2 字符"/>
    <w:link w:val="4"/>
    <w:autoRedefine/>
    <w:uiPriority w:val="0"/>
    <w:rPr>
      <w:rFonts w:ascii="宋体" w:hAnsi="Times New Roman" w:eastAsia="宋体" w:cs="Arial"/>
      <w:b/>
      <w:bCs/>
      <w:iCs/>
      <w:color w:val="000000"/>
      <w:kern w:val="0"/>
      <w:sz w:val="24"/>
      <w:szCs w:val="24"/>
    </w:rPr>
  </w:style>
  <w:style w:type="character" w:customStyle="1" w:styleId="22">
    <w:name w:val="标题 3 字符"/>
    <w:link w:val="5"/>
    <w:autoRedefine/>
    <w:qFormat/>
    <w:uiPriority w:val="0"/>
    <w:rPr>
      <w:rFonts w:ascii="宋体" w:hAnsi="宋体" w:eastAsia="宋体" w:cs="Arial"/>
      <w:b/>
      <w:bCs/>
      <w:kern w:val="0"/>
      <w:szCs w:val="21"/>
    </w:rPr>
  </w:style>
  <w:style w:type="character" w:customStyle="1" w:styleId="23">
    <w:name w:val="标题 4 字符"/>
    <w:link w:val="6"/>
    <w:autoRedefine/>
    <w:qFormat/>
    <w:uiPriority w:val="0"/>
    <w:rPr>
      <w:rFonts w:ascii="Times New Roman" w:hAnsi="Times New Roman" w:eastAsia="宋体" w:cs="Times New Roman"/>
      <w:b/>
      <w:bCs/>
      <w:kern w:val="0"/>
      <w:szCs w:val="28"/>
      <w:lang w:val="en-GB"/>
    </w:rPr>
  </w:style>
  <w:style w:type="character" w:customStyle="1" w:styleId="24">
    <w:name w:val="标题 5 字符"/>
    <w:link w:val="7"/>
    <w:autoRedefine/>
    <w:qFormat/>
    <w:uiPriority w:val="0"/>
    <w:rPr>
      <w:rFonts w:ascii="Times New Roman" w:hAnsi="Times New Roman" w:eastAsia="宋体" w:cs="Times New Roman"/>
      <w:b/>
      <w:bCs/>
      <w:iCs/>
      <w:kern w:val="0"/>
      <w:szCs w:val="26"/>
      <w:lang w:val="en-GB"/>
    </w:rPr>
  </w:style>
  <w:style w:type="character" w:customStyle="1" w:styleId="25">
    <w:name w:val="标题 6 字符"/>
    <w:link w:val="8"/>
    <w:autoRedefine/>
    <w:qFormat/>
    <w:uiPriority w:val="0"/>
    <w:rPr>
      <w:rFonts w:ascii="Times New Roman" w:hAnsi="Times New Roman" w:eastAsia="宋体" w:cs="Times New Roman"/>
      <w:b/>
      <w:bCs/>
      <w:kern w:val="0"/>
      <w:lang w:val="en-GB"/>
    </w:rPr>
  </w:style>
  <w:style w:type="character" w:customStyle="1" w:styleId="26">
    <w:name w:val="标题 7 字符"/>
    <w:link w:val="9"/>
    <w:autoRedefine/>
    <w:qFormat/>
    <w:uiPriority w:val="0"/>
    <w:rPr>
      <w:rFonts w:ascii="Times New Roman" w:hAnsi="Times New Roman" w:eastAsia="宋体" w:cs="Times New Roman"/>
      <w:kern w:val="0"/>
      <w:sz w:val="24"/>
      <w:szCs w:val="24"/>
      <w:lang w:val="en-GB"/>
    </w:rPr>
  </w:style>
  <w:style w:type="character" w:customStyle="1" w:styleId="27">
    <w:name w:val="标题 8 字符"/>
    <w:link w:val="10"/>
    <w:autoRedefine/>
    <w:qFormat/>
    <w:uiPriority w:val="0"/>
    <w:rPr>
      <w:rFonts w:ascii="Times New Roman" w:hAnsi="Times New Roman" w:eastAsia="宋体" w:cs="Times New Roman"/>
      <w:i/>
      <w:iCs/>
      <w:kern w:val="0"/>
      <w:sz w:val="24"/>
      <w:szCs w:val="24"/>
      <w:lang w:val="en-GB"/>
    </w:rPr>
  </w:style>
  <w:style w:type="character" w:customStyle="1" w:styleId="28">
    <w:name w:val="标题 9 字符"/>
    <w:link w:val="11"/>
    <w:autoRedefine/>
    <w:qFormat/>
    <w:uiPriority w:val="0"/>
    <w:rPr>
      <w:rFonts w:ascii="Arial" w:hAnsi="Arial" w:eastAsia="宋体" w:cs="Arial"/>
      <w:kern w:val="0"/>
      <w:sz w:val="22"/>
      <w:lang w:val="en-GB"/>
    </w:rPr>
  </w:style>
  <w:style w:type="character" w:customStyle="1" w:styleId="29">
    <w:name w:val="页眉 字符"/>
    <w:link w:val="14"/>
    <w:autoRedefine/>
    <w:qFormat/>
    <w:uiPriority w:val="99"/>
    <w:rPr>
      <w:rFonts w:ascii="Times New Roman" w:hAnsi="Times New Roman" w:eastAsia="宋体" w:cs="Times New Roman"/>
      <w:kern w:val="0"/>
      <w:sz w:val="18"/>
      <w:szCs w:val="18"/>
      <w:lang w:val="en-GB"/>
    </w:rPr>
  </w:style>
  <w:style w:type="character" w:customStyle="1" w:styleId="30">
    <w:name w:val="页脚 字符"/>
    <w:link w:val="13"/>
    <w:autoRedefine/>
    <w:qFormat/>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autoRedefine/>
    <w:semiHidden/>
    <w:qFormat/>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datastoreItem>
</file>

<file path=docProps/app.xml><?xml version="1.0" encoding="utf-8"?>
<Properties xmlns="http://schemas.openxmlformats.org/officeDocument/2006/extended-properties" xmlns:vt="http://schemas.openxmlformats.org/officeDocument/2006/docPropsVTypes">
  <Template>tmp5</Template>
  <Company>Microsoft</Company>
  <Pages>4</Pages>
  <Words>304</Words>
  <Characters>1734</Characters>
  <Lines>14</Lines>
  <Paragraphs>4</Paragraphs>
  <TotalTime>0</TotalTime>
  <ScaleCrop>false</ScaleCrop>
  <LinksUpToDate>false</LinksUpToDate>
  <CharactersWithSpaces>2034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2023-10-22T06:24:00Z</dcterms:created>
  <dc:creator>NB</dc:creator>
  <cp:lastModifiedBy>浅浅一笑</cp:lastModifiedBy>
  <dcterms:modified xsi:type="dcterms:W3CDTF">2024-01-08T05:03:25Z</dcterms:modified>
  <dc:title>公共建筑换气次数计算书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1B9BB54F1A134E7DB63D430BDD88AABC_13</vt:lpwstr>
  </property>
</Properties>
</file>