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天津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2023年10月22日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T15268567223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天津</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39.13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117.17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23.0</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22.8</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22.9</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23.2</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23.8</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24.4</w:t>
            </w:r>
          </w:p>
        </w:tc>
        <w:tc>
          <w:tcPr>
            <w:tcW w:w="1341" w:type="dxa"/>
            <w:vAlign w:val="center"/>
          </w:tcPr>
          <w:p>
            <w:pPr>
              <w:jc w:val="center"/>
            </w:pPr>
            <w:r>
              <w:t>77</w:t>
            </w:r>
          </w:p>
        </w:tc>
        <w:tc>
          <w:tcPr>
            <w:tcW w:w="1341" w:type="dxa"/>
            <w:vAlign w:val="center"/>
          </w:tcPr>
          <w:p>
            <w:pPr>
              <w:jc w:val="center"/>
            </w:pPr>
            <w:r>
              <w:t>41.67</w:t>
            </w:r>
          </w:p>
        </w:tc>
        <w:tc>
          <w:tcPr>
            <w:tcW w:w="1341" w:type="dxa"/>
            <w:vAlign w:val="center"/>
          </w:tcPr>
          <w:p>
            <w:pPr>
              <w:jc w:val="center"/>
            </w:pPr>
            <w:r>
              <w:t>41.67</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25.2</w:t>
            </w:r>
          </w:p>
        </w:tc>
        <w:tc>
          <w:tcPr>
            <w:tcW w:w="1341" w:type="dxa"/>
            <w:vAlign w:val="center"/>
          </w:tcPr>
          <w:p>
            <w:pPr>
              <w:jc w:val="center"/>
            </w:pPr>
            <w:r>
              <w:t>73</w:t>
            </w:r>
          </w:p>
        </w:tc>
        <w:tc>
          <w:tcPr>
            <w:tcW w:w="1341" w:type="dxa"/>
            <w:vAlign w:val="center"/>
          </w:tcPr>
          <w:p>
            <w:pPr>
              <w:jc w:val="center"/>
            </w:pPr>
            <w:r>
              <w:t>141.67</w:t>
            </w:r>
          </w:p>
        </w:tc>
        <w:tc>
          <w:tcPr>
            <w:tcW w:w="1341" w:type="dxa"/>
            <w:vAlign w:val="center"/>
          </w:tcPr>
          <w:p>
            <w:pPr>
              <w:jc w:val="center"/>
            </w:pPr>
            <w:r>
              <w:t>108.33</w:t>
            </w:r>
          </w:p>
        </w:tc>
        <w:tc>
          <w:tcPr>
            <w:tcW w:w="1341" w:type="dxa"/>
            <w:vAlign w:val="center"/>
          </w:tcPr>
          <w:p>
            <w:pPr>
              <w:jc w:val="center"/>
            </w:pPr>
            <w:r>
              <w:t>0.2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26.0</w:t>
            </w:r>
          </w:p>
        </w:tc>
        <w:tc>
          <w:tcPr>
            <w:tcW w:w="1341" w:type="dxa"/>
            <w:vAlign w:val="center"/>
          </w:tcPr>
          <w:p>
            <w:pPr>
              <w:jc w:val="center"/>
            </w:pPr>
            <w:r>
              <w:t>69</w:t>
            </w:r>
          </w:p>
        </w:tc>
        <w:tc>
          <w:tcPr>
            <w:tcW w:w="1341" w:type="dxa"/>
            <w:vAlign w:val="center"/>
          </w:tcPr>
          <w:p>
            <w:pPr>
              <w:jc w:val="center"/>
            </w:pPr>
            <w:r>
              <w:t>258.33</w:t>
            </w:r>
          </w:p>
        </w:tc>
        <w:tc>
          <w:tcPr>
            <w:tcW w:w="1341" w:type="dxa"/>
            <w:vAlign w:val="center"/>
          </w:tcPr>
          <w:p>
            <w:pPr>
              <w:jc w:val="center"/>
            </w:pPr>
            <w:r>
              <w:t>177.78</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26.8</w:t>
            </w:r>
          </w:p>
        </w:tc>
        <w:tc>
          <w:tcPr>
            <w:tcW w:w="1341" w:type="dxa"/>
            <w:vAlign w:val="center"/>
          </w:tcPr>
          <w:p>
            <w:pPr>
              <w:jc w:val="center"/>
            </w:pPr>
            <w:r>
              <w:t>66</w:t>
            </w:r>
          </w:p>
        </w:tc>
        <w:tc>
          <w:tcPr>
            <w:tcW w:w="1341" w:type="dxa"/>
            <w:vAlign w:val="center"/>
          </w:tcPr>
          <w:p>
            <w:pPr>
              <w:jc w:val="center"/>
            </w:pPr>
            <w:r>
              <w:t>380.56</w:t>
            </w:r>
          </w:p>
        </w:tc>
        <w:tc>
          <w:tcPr>
            <w:tcW w:w="1341" w:type="dxa"/>
            <w:vAlign w:val="center"/>
          </w:tcPr>
          <w:p>
            <w:pPr>
              <w:jc w:val="center"/>
            </w:pPr>
            <w:r>
              <w:t>238.89</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27.6</w:t>
            </w:r>
          </w:p>
        </w:tc>
        <w:tc>
          <w:tcPr>
            <w:tcW w:w="1341" w:type="dxa"/>
            <w:vAlign w:val="center"/>
          </w:tcPr>
          <w:p>
            <w:pPr>
              <w:jc w:val="center"/>
            </w:pPr>
            <w:r>
              <w:t>63</w:t>
            </w:r>
          </w:p>
        </w:tc>
        <w:tc>
          <w:tcPr>
            <w:tcW w:w="1341" w:type="dxa"/>
            <w:vAlign w:val="center"/>
          </w:tcPr>
          <w:p>
            <w:pPr>
              <w:jc w:val="center"/>
            </w:pPr>
            <w:r>
              <w:t>497.22</w:t>
            </w:r>
          </w:p>
        </w:tc>
        <w:tc>
          <w:tcPr>
            <w:tcW w:w="1341" w:type="dxa"/>
            <w:vAlign w:val="center"/>
          </w:tcPr>
          <w:p>
            <w:pPr>
              <w:jc w:val="center"/>
            </w:pPr>
            <w:r>
              <w:t>291.67</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28.3</w:t>
            </w:r>
          </w:p>
        </w:tc>
        <w:tc>
          <w:tcPr>
            <w:tcW w:w="1341" w:type="dxa"/>
            <w:vAlign w:val="center"/>
          </w:tcPr>
          <w:p>
            <w:pPr>
              <w:jc w:val="center"/>
            </w:pPr>
            <w:r>
              <w:t>61</w:t>
            </w:r>
          </w:p>
        </w:tc>
        <w:tc>
          <w:tcPr>
            <w:tcW w:w="1341" w:type="dxa"/>
            <w:vAlign w:val="center"/>
          </w:tcPr>
          <w:p>
            <w:pPr>
              <w:jc w:val="center"/>
            </w:pPr>
            <w:r>
              <w:t>588.89</w:t>
            </w:r>
          </w:p>
        </w:tc>
        <w:tc>
          <w:tcPr>
            <w:tcW w:w="1341" w:type="dxa"/>
            <w:vAlign w:val="center"/>
          </w:tcPr>
          <w:p>
            <w:pPr>
              <w:jc w:val="center"/>
            </w:pPr>
            <w:r>
              <w:t>330.56</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28.8</w:t>
            </w:r>
          </w:p>
        </w:tc>
        <w:tc>
          <w:tcPr>
            <w:tcW w:w="1341" w:type="dxa"/>
            <w:vAlign w:val="center"/>
          </w:tcPr>
          <w:p>
            <w:pPr>
              <w:jc w:val="center"/>
            </w:pPr>
            <w:r>
              <w:t>59</w:t>
            </w:r>
          </w:p>
        </w:tc>
        <w:tc>
          <w:tcPr>
            <w:tcW w:w="1341" w:type="dxa"/>
            <w:vAlign w:val="center"/>
          </w:tcPr>
          <w:p>
            <w:pPr>
              <w:jc w:val="center"/>
            </w:pPr>
            <w:r>
              <w:t>647.22</w:t>
            </w:r>
          </w:p>
        </w:tc>
        <w:tc>
          <w:tcPr>
            <w:tcW w:w="1341" w:type="dxa"/>
            <w:vAlign w:val="center"/>
          </w:tcPr>
          <w:p>
            <w:pPr>
              <w:jc w:val="center"/>
            </w:pPr>
            <w:r>
              <w:t>352.78</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29.3</w:t>
            </w:r>
          </w:p>
        </w:tc>
        <w:tc>
          <w:tcPr>
            <w:tcW w:w="1341" w:type="dxa"/>
            <w:vAlign w:val="center"/>
          </w:tcPr>
          <w:p>
            <w:pPr>
              <w:jc w:val="center"/>
            </w:pPr>
            <w:r>
              <w:t>59</w:t>
            </w:r>
          </w:p>
        </w:tc>
        <w:tc>
          <w:tcPr>
            <w:tcW w:w="1341" w:type="dxa"/>
            <w:vAlign w:val="center"/>
          </w:tcPr>
          <w:p>
            <w:pPr>
              <w:jc w:val="center"/>
            </w:pPr>
            <w:r>
              <w:t>661.11</w:t>
            </w:r>
          </w:p>
        </w:tc>
        <w:tc>
          <w:tcPr>
            <w:tcW w:w="1341" w:type="dxa"/>
            <w:vAlign w:val="center"/>
          </w:tcPr>
          <w:p>
            <w:pPr>
              <w:jc w:val="center"/>
            </w:pPr>
            <w:r>
              <w:t>358.33</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29.5</w:t>
            </w:r>
          </w:p>
        </w:tc>
        <w:tc>
          <w:tcPr>
            <w:tcW w:w="1341" w:type="dxa"/>
            <w:vAlign w:val="center"/>
          </w:tcPr>
          <w:p>
            <w:pPr>
              <w:jc w:val="center"/>
            </w:pPr>
            <w:r>
              <w:t>59</w:t>
            </w:r>
          </w:p>
        </w:tc>
        <w:tc>
          <w:tcPr>
            <w:tcW w:w="1341" w:type="dxa"/>
            <w:vAlign w:val="center"/>
          </w:tcPr>
          <w:p>
            <w:pPr>
              <w:jc w:val="center"/>
            </w:pPr>
            <w:r>
              <w:t>627.78</w:t>
            </w:r>
          </w:p>
        </w:tc>
        <w:tc>
          <w:tcPr>
            <w:tcW w:w="1341" w:type="dxa"/>
            <w:vAlign w:val="center"/>
          </w:tcPr>
          <w:p>
            <w:pPr>
              <w:jc w:val="center"/>
            </w:pPr>
            <w:r>
              <w:t>347.22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29.5</w:t>
            </w:r>
          </w:p>
        </w:tc>
        <w:tc>
          <w:tcPr>
            <w:tcW w:w="1341" w:type="dxa"/>
            <w:vAlign w:val="center"/>
          </w:tcPr>
          <w:p>
            <w:pPr>
              <w:jc w:val="center"/>
            </w:pPr>
            <w:r>
              <w:t>60</w:t>
            </w:r>
          </w:p>
        </w:tc>
        <w:tc>
          <w:tcPr>
            <w:tcW w:w="1341" w:type="dxa"/>
            <w:vAlign w:val="center"/>
          </w:tcPr>
          <w:p>
            <w:pPr>
              <w:jc w:val="center"/>
            </w:pPr>
            <w:r>
              <w:t>552.78</w:t>
            </w:r>
          </w:p>
        </w:tc>
        <w:tc>
          <w:tcPr>
            <w:tcW w:w="1341" w:type="dxa"/>
            <w:vAlign w:val="center"/>
          </w:tcPr>
          <w:p>
            <w:pPr>
              <w:jc w:val="center"/>
            </w:pPr>
            <w:r>
              <w:t>313.89</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29.3</w:t>
            </w:r>
          </w:p>
        </w:tc>
        <w:tc>
          <w:tcPr>
            <w:tcW w:w="1341" w:type="dxa"/>
            <w:vAlign w:val="center"/>
          </w:tcPr>
          <w:p>
            <w:pPr>
              <w:jc w:val="center"/>
            </w:pPr>
            <w:r>
              <w:t>62</w:t>
            </w:r>
          </w:p>
        </w:tc>
        <w:tc>
          <w:tcPr>
            <w:tcW w:w="1341" w:type="dxa"/>
            <w:vAlign w:val="center"/>
          </w:tcPr>
          <w:p>
            <w:pPr>
              <w:jc w:val="center"/>
            </w:pPr>
            <w:r>
              <w:t>450.00</w:t>
            </w:r>
          </w:p>
        </w:tc>
        <w:tc>
          <w:tcPr>
            <w:tcW w:w="1341" w:type="dxa"/>
            <w:vAlign w:val="center"/>
          </w:tcPr>
          <w:p>
            <w:pPr>
              <w:jc w:val="center"/>
            </w:pPr>
            <w:r>
              <w:t>269.44</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29.0</w:t>
            </w:r>
          </w:p>
        </w:tc>
        <w:tc>
          <w:tcPr>
            <w:tcW w:w="1341" w:type="dxa"/>
            <w:vAlign w:val="center"/>
          </w:tcPr>
          <w:p>
            <w:pPr>
              <w:jc w:val="center"/>
            </w:pPr>
            <w:r>
              <w:t>64</w:t>
            </w:r>
          </w:p>
        </w:tc>
        <w:tc>
          <w:tcPr>
            <w:tcW w:w="1341" w:type="dxa"/>
            <w:vAlign w:val="center"/>
          </w:tcPr>
          <w:p>
            <w:pPr>
              <w:jc w:val="center"/>
            </w:pPr>
            <w:r>
              <w:t>327.78</w:t>
            </w:r>
          </w:p>
        </w:tc>
        <w:tc>
          <w:tcPr>
            <w:tcW w:w="1341" w:type="dxa"/>
            <w:vAlign w:val="center"/>
          </w:tcPr>
          <w:p>
            <w:pPr>
              <w:jc w:val="center"/>
            </w:pPr>
            <w:r>
              <w:t>208.33</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28.5</w:t>
            </w:r>
          </w:p>
        </w:tc>
        <w:tc>
          <w:tcPr>
            <w:tcW w:w="1341" w:type="dxa"/>
            <w:vAlign w:val="center"/>
          </w:tcPr>
          <w:p>
            <w:pPr>
              <w:jc w:val="center"/>
            </w:pPr>
            <w:r>
              <w:t>67</w:t>
            </w:r>
          </w:p>
        </w:tc>
        <w:tc>
          <w:tcPr>
            <w:tcW w:w="1341" w:type="dxa"/>
            <w:vAlign w:val="center"/>
          </w:tcPr>
          <w:p>
            <w:pPr>
              <w:jc w:val="center"/>
            </w:pPr>
            <w:r>
              <w:t>205.56</w:t>
            </w:r>
          </w:p>
        </w:tc>
        <w:tc>
          <w:tcPr>
            <w:tcW w:w="1341" w:type="dxa"/>
            <w:vAlign w:val="center"/>
          </w:tcPr>
          <w:p>
            <w:pPr>
              <w:jc w:val="center"/>
            </w:pPr>
            <w:r>
              <w:t>138.89</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27.9</w:t>
            </w:r>
          </w:p>
        </w:tc>
        <w:tc>
          <w:tcPr>
            <w:tcW w:w="1341" w:type="dxa"/>
            <w:vAlign w:val="center"/>
          </w:tcPr>
          <w:p>
            <w:pPr>
              <w:jc w:val="center"/>
            </w:pPr>
            <w:r>
              <w:t>70</w:t>
            </w:r>
          </w:p>
        </w:tc>
        <w:tc>
          <w:tcPr>
            <w:tcW w:w="1341" w:type="dxa"/>
            <w:vAlign w:val="center"/>
          </w:tcPr>
          <w:p>
            <w:pPr>
              <w:jc w:val="center"/>
            </w:pPr>
            <w:r>
              <w:t>94.44</w:t>
            </w:r>
          </w:p>
        </w:tc>
        <w:tc>
          <w:tcPr>
            <w:tcW w:w="1341" w:type="dxa"/>
            <w:vAlign w:val="center"/>
          </w:tcPr>
          <w:p>
            <w:pPr>
              <w:jc w:val="center"/>
            </w:pPr>
            <w:r>
              <w:t>69.44</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27.2</w:t>
            </w:r>
          </w:p>
        </w:tc>
        <w:tc>
          <w:tcPr>
            <w:tcW w:w="1341" w:type="dxa"/>
            <w:vAlign w:val="center"/>
          </w:tcPr>
          <w:p>
            <w:pPr>
              <w:jc w:val="center"/>
            </w:pPr>
            <w:r>
              <w:t>73</w:t>
            </w:r>
          </w:p>
        </w:tc>
        <w:tc>
          <w:tcPr>
            <w:tcW w:w="1341" w:type="dxa"/>
            <w:vAlign w:val="center"/>
          </w:tcPr>
          <w:p>
            <w:pPr>
              <w:jc w:val="center"/>
            </w:pPr>
            <w:r>
              <w:t>2.78</w:t>
            </w:r>
          </w:p>
        </w:tc>
        <w:tc>
          <w:tcPr>
            <w:tcW w:w="1341" w:type="dxa"/>
            <w:vAlign w:val="center"/>
          </w:tcPr>
          <w:p>
            <w:pPr>
              <w:jc w:val="center"/>
            </w:pPr>
            <w:r>
              <w:t>2.78</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26.5</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25.7</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25.0</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24.4</w:t>
            </w:r>
          </w:p>
        </w:tc>
        <w:tc>
          <w:tcPr>
            <w:tcW w:w="1341" w:type="dxa"/>
            <w:vAlign w:val="center"/>
          </w:tcPr>
          <w:p>
            <w:pPr>
              <w:jc w:val="center"/>
            </w:pPr>
            <w:r>
              <w:t>82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26.4</w:t>
            </w:r>
          </w:p>
        </w:tc>
        <w:tc>
          <w:tcPr>
            <w:tcW w:w="1341" w:type="dxa"/>
            <w:vAlign w:val="center"/>
          </w:tcPr>
          <w:p>
            <w:pPr>
              <w:jc w:val="center"/>
            </w:pPr>
            <w:r>
              <w:t>72</w:t>
            </w:r>
          </w:p>
        </w:tc>
        <w:tc>
          <w:tcPr>
            <w:tcW w:w="1341" w:type="dxa"/>
            <w:vAlign w:val="center"/>
          </w:tcPr>
          <w:p>
            <w:pPr>
              <w:jc w:val="center"/>
            </w:pPr>
            <w:r>
              <w:t>228.24</w:t>
            </w:r>
          </w:p>
        </w:tc>
        <w:tc>
          <w:tcPr>
            <w:tcW w:w="1341" w:type="dxa"/>
            <w:vAlign w:val="center"/>
          </w:tcPr>
          <w:p>
            <w:pPr>
              <w:jc w:val="center"/>
            </w:pPr>
            <w:r>
              <w:t>135.42</w:t>
            </w:r>
          </w:p>
        </w:tc>
        <w:tc>
          <w:tcPr>
            <w:tcW w:w="1341" w:type="dxa"/>
            <w:vAlign w:val="center"/>
          </w:tcPr>
          <w:p>
            <w:pPr>
              <w:jc w:val="center"/>
            </w:pPr>
            <w:r>
              <w:t>0.9</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1129.92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710.57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686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569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5696" w:type="dxa"/>
            <w:vAlign w:val="center"/>
          </w:tcPr>
          <w:p>
            <w:pPr>
              <w:jc w:val="center"/>
            </w:pPr>
            <w:r>
              <w:t>-9.22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5696" w:type="dxa"/>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5696" w:type="dxa"/>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5696" w:type="dxa"/>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575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kZmQ4YzNiNGMyZTI1ZjUzYTg2YzI0MGZmMzU0OGIifQ=="/>
  </w:docVars>
  <w:rsids>
    <w:rsidRoot w:val="00D87D7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A7D69"/>
    <w:rsid w:val="001B3169"/>
    <w:rsid w:val="001B7C87"/>
    <w:rsid w:val="001C1E3A"/>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87D7B"/>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7E0301B"/>
    <w:rsid w:val="4D35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Template>
  <Company>ths</Company>
  <Pages>8</Pages>
  <Words>617</Words>
  <Characters>3523</Characters>
  <Lines>29</Lines>
  <Paragraphs>8</Paragraphs>
  <TotalTime>10</TotalTime>
  <ScaleCrop>false</ScaleCrop>
  <LinksUpToDate>false</LinksUpToDate>
  <CharactersWithSpaces>4132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2023-10-22T09:46:00Z</dcterms:created>
  <dc:creator>NB</dc:creator>
  <cp:lastModifiedBy>浅浅一笑</cp:lastModifiedBy>
  <cp:lastPrinted>2411-12-31T16:00:00Z</cp:lastPrinted>
  <dcterms:modified xsi:type="dcterms:W3CDTF">2024-01-07T13:14:04Z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B792E52167F2493E964F87FFDF7CE282_13</vt:lpwstr>
  </property>
</Properties>
</file>