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城市，种植，生长-基于自给自足的绿色菜市场更新设计</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2024年03月08日</w:t>
      </w:r>
      <w:bookmarkEnd w:id="3"/>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bookmarkStart w:id="4" w:name="项目名称1"/>
      <w:r>
        <w:t>城市，种植，生长-基于自给自足的绿色菜市场更新设计</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r>
        <w:rPr>
          <w:color w:val="000000"/>
          <w:lang w:val="zh-CN"/>
        </w:rPr>
        <w:t>基地外参与叠加分析的主体建筑</w:t>
      </w:r>
    </w:p>
    <w:tbl>
      <w:tblPr>
        <w:tblStyle w:val="5"/>
        <w:tblW w:w="856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建筑高度(米)</w:t>
            </w:r>
          </w:p>
        </w:tc>
      </w:tr>
    </w:tbl>
    <w:p>
      <w:pPr>
        <w:spacing w:line="440" w:lineRule="exact"/>
        <w:rPr>
          <w:rFonts w:ascii="宋体" w:hAnsi="宋体" w:cs="宋体"/>
          <w:b/>
          <w:bCs/>
          <w:color w:val="000000"/>
          <w:sz w:val="24"/>
          <w:szCs w:val="32"/>
        </w:rPr>
      </w:pPr>
      <w:bookmarkStart w:id="26" w:name="基地外参与叠加分析的主体建筑"/>
      <w:bookmarkEnd w:id="26"/>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w:t>
      </w:r>
      <w:r>
        <w:rPr>
          <w:rFonts w:ascii="黑体" w:hAnsi="宋体" w:eastAsia="黑体"/>
          <w:sz w:val="24"/>
          <w:szCs w:val="24"/>
        </w:rPr>
        <w:t>2018</w:t>
      </w:r>
      <w:r>
        <w:rPr>
          <w:rFonts w:hint="eastAsia" w:ascii="黑体" w:hAnsi="宋体" w:eastAsia="黑体"/>
          <w:sz w:val="24"/>
          <w:szCs w:val="24"/>
        </w:rPr>
        <w:t>）的条文</w:t>
      </w:r>
    </w:p>
    <w:p>
      <w:pPr>
        <w:spacing w:line="440" w:lineRule="exact"/>
        <w:ind w:firstLine="105" w:firstLineChars="50"/>
        <w:rPr>
          <w:rFonts w:ascii="宋体" w:hAnsi="宋体"/>
          <w:b/>
        </w:rPr>
      </w:pPr>
      <w:r>
        <w:rPr>
          <w:rFonts w:ascii="宋体" w:hAnsi="宋体"/>
          <w:b/>
        </w:rPr>
        <w:t>4.0.9 住宅建筑的间距应符合表4.0.9的规定；对特定情况，还应符合下列规定：</w:t>
      </w:r>
    </w:p>
    <w:p>
      <w:pPr>
        <w:numPr>
          <w:ilvl w:val="0"/>
          <w:numId w:val="1"/>
        </w:numPr>
        <w:tabs>
          <w:tab w:val="left" w:pos="567"/>
          <w:tab w:val="clear" w:pos="720"/>
        </w:tabs>
        <w:spacing w:line="440" w:lineRule="exact"/>
        <w:ind w:left="567" w:hanging="567"/>
        <w:rPr>
          <w:rFonts w:ascii="宋体" w:hAnsi="宋体"/>
        </w:rPr>
      </w:pPr>
      <w:r>
        <w:rPr>
          <w:rFonts w:ascii="宋体" w:hAnsi="宋体"/>
        </w:rPr>
        <w:t>老年人居住建筑日照标准不应低于冬至日日照时数2</w:t>
      </w:r>
      <w:r>
        <w:rPr>
          <w:rFonts w:hint="eastAsia" w:ascii="宋体" w:hAnsi="宋体"/>
        </w:rPr>
        <w:t>h</w:t>
      </w:r>
      <w:r>
        <w:rPr>
          <w:rFonts w:ascii="宋体" w:hAnsi="宋体"/>
        </w:rPr>
        <w:t>；</w:t>
      </w:r>
    </w:p>
    <w:p>
      <w:pPr>
        <w:numPr>
          <w:ilvl w:val="0"/>
          <w:numId w:val="1"/>
        </w:numPr>
        <w:tabs>
          <w:tab w:val="left" w:pos="567"/>
          <w:tab w:val="clear" w:pos="720"/>
        </w:tabs>
        <w:spacing w:line="440" w:lineRule="exact"/>
        <w:ind w:left="567" w:hanging="567"/>
        <w:rPr>
          <w:rFonts w:ascii="宋体" w:hAnsi="宋体"/>
        </w:rPr>
      </w:pPr>
      <w:r>
        <w:rPr>
          <w:rFonts w:ascii="宋体" w:hAnsi="宋体"/>
        </w:rPr>
        <w:t>在原设计建筑外增加任何设施不应使相邻住宅原有日照标准降低，既有住宅建筑进行无障碍改造加装电梯除外；</w:t>
      </w:r>
    </w:p>
    <w:p>
      <w:pPr>
        <w:numPr>
          <w:ilvl w:val="0"/>
          <w:numId w:val="1"/>
        </w:numPr>
        <w:tabs>
          <w:tab w:val="left" w:pos="567"/>
          <w:tab w:val="clear" w:pos="720"/>
        </w:tabs>
        <w:spacing w:line="440" w:lineRule="exact"/>
        <w:ind w:left="567" w:hanging="567"/>
        <w:rPr>
          <w:rFonts w:ascii="宋体" w:hAnsi="宋体"/>
        </w:rPr>
      </w:pPr>
      <w:r>
        <w:rPr>
          <w:rFonts w:ascii="宋体" w:hAnsi="宋体"/>
        </w:rP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建筑气候区划</w:t>
            </w:r>
          </w:p>
        </w:tc>
        <w:tc>
          <w:tcPr>
            <w:tcW w:w="1721" w:type="pct"/>
            <w:gridSpan w:val="2"/>
            <w:vAlign w:val="center"/>
          </w:tcPr>
          <w:p>
            <w:pPr>
              <w:jc w:val="center"/>
              <w:rPr>
                <w:rFonts w:ascii="宋体" w:hAnsi="宋体"/>
                <w:szCs w:val="22"/>
              </w:rPr>
            </w:pPr>
            <w:r>
              <w:rPr>
                <w:rFonts w:ascii="宋体" w:hAnsi="宋体"/>
                <w:szCs w:val="22"/>
              </w:rPr>
              <w:t>Ⅰ、Ⅱ、Ⅲ、VII气候区</w:t>
            </w:r>
          </w:p>
        </w:tc>
        <w:tc>
          <w:tcPr>
            <w:tcW w:w="924" w:type="pct"/>
            <w:gridSpan w:val="2"/>
            <w:vAlign w:val="center"/>
          </w:tcPr>
          <w:p>
            <w:pPr>
              <w:jc w:val="center"/>
              <w:rPr>
                <w:rFonts w:ascii="宋体" w:hAnsi="宋体"/>
                <w:szCs w:val="22"/>
              </w:rPr>
            </w:pPr>
            <w:r>
              <w:rPr>
                <w:rFonts w:ascii="宋体" w:hAnsi="宋体"/>
                <w:szCs w:val="22"/>
              </w:rPr>
              <w:t>Ⅳ气候区</w:t>
            </w:r>
          </w:p>
        </w:tc>
        <w:tc>
          <w:tcPr>
            <w:tcW w:w="1014" w:type="pct"/>
            <w:vAlign w:val="center"/>
          </w:tcPr>
          <w:p>
            <w:pPr>
              <w:jc w:val="center"/>
              <w:rPr>
                <w:rFonts w:ascii="宋体" w:hAnsi="宋体"/>
                <w:szCs w:val="22"/>
              </w:rPr>
            </w:pPr>
            <w:r>
              <w:rPr>
                <w:rFonts w:ascii="宋体" w:hAnsi="宋体"/>
                <w:szCs w:val="22"/>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城区常住人口</w:t>
            </w:r>
            <w:r>
              <w:rPr>
                <w:rFonts w:hint="eastAsia" w:ascii="宋体" w:hAnsi="宋体"/>
                <w:szCs w:val="22"/>
              </w:rPr>
              <w:t>(万人</w:t>
            </w:r>
            <w:r>
              <w:rPr>
                <w:rFonts w:ascii="宋体" w:hAnsi="宋体"/>
                <w:szCs w:val="22"/>
              </w:rPr>
              <w:t>)</w:t>
            </w:r>
          </w:p>
        </w:tc>
        <w:tc>
          <w:tcPr>
            <w:tcW w:w="893" w:type="pct"/>
            <w:vAlign w:val="center"/>
          </w:tcPr>
          <w:p>
            <w:pPr>
              <w:jc w:val="center"/>
              <w:rPr>
                <w:rFonts w:ascii="宋体" w:hAnsi="宋体"/>
                <w:szCs w:val="22"/>
              </w:rPr>
            </w:pPr>
            <w:r>
              <w:rPr>
                <w:rFonts w:ascii="宋体" w:hAnsi="宋体"/>
                <w:szCs w:val="22"/>
              </w:rPr>
              <w:t>≥50</w:t>
            </w:r>
          </w:p>
        </w:tc>
        <w:tc>
          <w:tcPr>
            <w:tcW w:w="829" w:type="pct"/>
            <w:vAlign w:val="center"/>
          </w:tcPr>
          <w:p>
            <w:pPr>
              <w:jc w:val="center"/>
              <w:rPr>
                <w:rFonts w:ascii="宋体" w:hAnsi="宋体"/>
                <w:szCs w:val="22"/>
              </w:rPr>
            </w:pPr>
            <w:r>
              <w:rPr>
                <w:rFonts w:hint="eastAsia" w:ascii="宋体" w:hAnsi="宋体"/>
                <w:szCs w:val="22"/>
              </w:rPr>
              <w:t>＜5</w:t>
            </w:r>
            <w:r>
              <w:rPr>
                <w:rFonts w:ascii="宋体" w:hAnsi="宋体"/>
                <w:szCs w:val="22"/>
              </w:rPr>
              <w:t>0</w:t>
            </w:r>
          </w:p>
        </w:tc>
        <w:tc>
          <w:tcPr>
            <w:tcW w:w="462" w:type="pct"/>
            <w:vAlign w:val="center"/>
          </w:tcPr>
          <w:p>
            <w:pPr>
              <w:jc w:val="center"/>
              <w:rPr>
                <w:rFonts w:ascii="宋体" w:hAnsi="宋体"/>
                <w:szCs w:val="22"/>
              </w:rPr>
            </w:pPr>
            <w:r>
              <w:rPr>
                <w:rFonts w:ascii="宋体" w:hAnsi="宋体"/>
                <w:szCs w:val="22"/>
              </w:rPr>
              <w:t>≥50</w:t>
            </w:r>
          </w:p>
        </w:tc>
        <w:tc>
          <w:tcPr>
            <w:tcW w:w="462" w:type="pct"/>
            <w:vAlign w:val="center"/>
          </w:tcPr>
          <w:p>
            <w:pPr>
              <w:jc w:val="center"/>
              <w:rPr>
                <w:rFonts w:ascii="宋体" w:hAnsi="宋体" w:cs="Arial Unicode MS"/>
                <w:szCs w:val="21"/>
              </w:rPr>
            </w:pPr>
            <w:r>
              <w:rPr>
                <w:rFonts w:hint="eastAsia" w:ascii="宋体" w:hAnsi="宋体"/>
                <w:szCs w:val="21"/>
              </w:rPr>
              <w:t>＜5</w:t>
            </w:r>
            <w:r>
              <w:rPr>
                <w:rFonts w:ascii="宋体" w:hAnsi="宋体"/>
                <w:szCs w:val="21"/>
              </w:rPr>
              <w:t>0</w:t>
            </w:r>
          </w:p>
        </w:tc>
        <w:tc>
          <w:tcPr>
            <w:tcW w:w="1014" w:type="pct"/>
            <w:vAlign w:val="center"/>
          </w:tcPr>
          <w:p>
            <w:pPr>
              <w:jc w:val="center"/>
              <w:rPr>
                <w:rFonts w:ascii="宋体" w:hAnsi="宋体"/>
                <w:szCs w:val="22"/>
              </w:rPr>
            </w:pPr>
            <w:r>
              <w:rPr>
                <w:rFonts w:ascii="宋体" w:hAnsi="宋体"/>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日照标准日</w:t>
            </w:r>
          </w:p>
        </w:tc>
        <w:tc>
          <w:tcPr>
            <w:tcW w:w="2183" w:type="pct"/>
            <w:gridSpan w:val="3"/>
            <w:vAlign w:val="center"/>
          </w:tcPr>
          <w:p>
            <w:pPr>
              <w:jc w:val="center"/>
              <w:rPr>
                <w:rFonts w:ascii="宋体" w:hAnsi="宋体"/>
                <w:szCs w:val="22"/>
              </w:rPr>
            </w:pPr>
            <w:r>
              <w:rPr>
                <w:rFonts w:ascii="宋体" w:hAnsi="宋体"/>
                <w:szCs w:val="22"/>
              </w:rPr>
              <w:t>大寒日</w:t>
            </w:r>
          </w:p>
        </w:tc>
        <w:tc>
          <w:tcPr>
            <w:tcW w:w="1477" w:type="pct"/>
            <w:gridSpan w:val="2"/>
            <w:vAlign w:val="center"/>
          </w:tcPr>
          <w:p>
            <w:pPr>
              <w:jc w:val="center"/>
              <w:rPr>
                <w:rFonts w:ascii="宋体" w:hAnsi="宋体"/>
                <w:szCs w:val="22"/>
              </w:rPr>
            </w:pPr>
            <w:r>
              <w:rPr>
                <w:rFonts w:ascii="宋体" w:hAnsi="宋体"/>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日照时数</w:t>
            </w:r>
            <w:r>
              <w:rPr>
                <w:rFonts w:ascii="宋体" w:hAnsi="宋体"/>
                <w:szCs w:val="21"/>
              </w:rPr>
              <w:t>(h)</w:t>
            </w:r>
          </w:p>
        </w:tc>
        <w:tc>
          <w:tcPr>
            <w:tcW w:w="893" w:type="pct"/>
            <w:vAlign w:val="center"/>
          </w:tcPr>
          <w:p>
            <w:pPr>
              <w:jc w:val="center"/>
              <w:rPr>
                <w:rFonts w:ascii="宋体" w:hAnsi="宋体" w:cs="Arial Unicode MS"/>
                <w:szCs w:val="21"/>
              </w:rPr>
            </w:pPr>
            <w:r>
              <w:rPr>
                <w:rFonts w:ascii="宋体" w:hAnsi="宋体"/>
                <w:szCs w:val="21"/>
              </w:rPr>
              <w:t>≥2</w:t>
            </w:r>
          </w:p>
        </w:tc>
        <w:tc>
          <w:tcPr>
            <w:tcW w:w="1291" w:type="pct"/>
            <w:gridSpan w:val="2"/>
            <w:vAlign w:val="center"/>
          </w:tcPr>
          <w:p>
            <w:pPr>
              <w:jc w:val="center"/>
              <w:rPr>
                <w:rFonts w:ascii="宋体" w:hAnsi="宋体"/>
                <w:szCs w:val="22"/>
              </w:rPr>
            </w:pPr>
            <w:r>
              <w:rPr>
                <w:rFonts w:ascii="宋体" w:hAnsi="宋体"/>
                <w:szCs w:val="22"/>
              </w:rPr>
              <w:t>≥3</w:t>
            </w:r>
          </w:p>
        </w:tc>
        <w:tc>
          <w:tcPr>
            <w:tcW w:w="1477" w:type="pct"/>
            <w:gridSpan w:val="2"/>
            <w:vAlign w:val="center"/>
          </w:tcPr>
          <w:p>
            <w:pPr>
              <w:jc w:val="center"/>
              <w:rPr>
                <w:rFonts w:ascii="宋体" w:hAnsi="宋体"/>
                <w:szCs w:val="22"/>
              </w:rPr>
            </w:pPr>
            <w:r>
              <w:rPr>
                <w:rFonts w:ascii="宋体" w:hAnsi="宋体"/>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pPr>
              <w:jc w:val="center"/>
              <w:rPr>
                <w:rFonts w:ascii="宋体" w:hAnsi="宋体"/>
                <w:szCs w:val="21"/>
              </w:rPr>
            </w:pPr>
            <w:r>
              <w:rPr>
                <w:rFonts w:ascii="宋体" w:hAnsi="宋体"/>
                <w:szCs w:val="21"/>
              </w:rPr>
              <w:t>有效日照时间带</w:t>
            </w:r>
          </w:p>
          <w:p>
            <w:pPr>
              <w:jc w:val="center"/>
              <w:rPr>
                <w:rFonts w:ascii="宋体" w:hAnsi="宋体"/>
                <w:szCs w:val="21"/>
              </w:rPr>
            </w:pPr>
            <w:r>
              <w:rPr>
                <w:rFonts w:ascii="宋体" w:hAnsi="宋体"/>
                <w:szCs w:val="21"/>
              </w:rPr>
              <w:t>(当地真太阳时)</w:t>
            </w:r>
          </w:p>
        </w:tc>
        <w:tc>
          <w:tcPr>
            <w:tcW w:w="2183" w:type="pct"/>
            <w:gridSpan w:val="3"/>
            <w:vAlign w:val="center"/>
          </w:tcPr>
          <w:p>
            <w:pPr>
              <w:jc w:val="center"/>
              <w:rPr>
                <w:rFonts w:ascii="宋体" w:hAnsi="宋体" w:cs="Arial Unicode MS"/>
                <w:szCs w:val="21"/>
              </w:rPr>
            </w:pPr>
            <w:r>
              <w:rPr>
                <w:rFonts w:ascii="宋体" w:hAnsi="宋体"/>
                <w:szCs w:val="21"/>
              </w:rPr>
              <w:t>8时～16时</w:t>
            </w:r>
          </w:p>
        </w:tc>
        <w:tc>
          <w:tcPr>
            <w:tcW w:w="1477" w:type="pct"/>
            <w:gridSpan w:val="2"/>
            <w:vAlign w:val="center"/>
          </w:tcPr>
          <w:p>
            <w:pPr>
              <w:jc w:val="center"/>
              <w:rPr>
                <w:rFonts w:ascii="宋体" w:hAnsi="宋体" w:cs="Arial Unicode MS"/>
                <w:szCs w:val="21"/>
              </w:rPr>
            </w:pPr>
            <w:r>
              <w:rPr>
                <w:rFonts w:ascii="宋体" w:hAnsi="宋体"/>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1"/>
              </w:rPr>
              <w:t>计算起点</w:t>
            </w:r>
          </w:p>
        </w:tc>
        <w:tc>
          <w:tcPr>
            <w:tcW w:w="3660" w:type="pct"/>
            <w:gridSpan w:val="5"/>
            <w:vAlign w:val="center"/>
          </w:tcPr>
          <w:p>
            <w:pPr>
              <w:jc w:val="center"/>
              <w:rPr>
                <w:rFonts w:ascii="宋体" w:hAnsi="宋体"/>
                <w:szCs w:val="22"/>
              </w:rPr>
            </w:pPr>
            <w:r>
              <w:rPr>
                <w:rFonts w:ascii="宋体" w:hAnsi="宋体"/>
                <w:szCs w:val="22"/>
              </w:rPr>
              <w:t>底层窗台面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1.50</w:t>
            </w:r>
          </w:p>
        </w:tc>
        <w:tc>
          <w:tcPr>
            <w:vAlign w:val="center"/>
          </w:tcPr>
          <w:p>
            <w:pPr>
              <w:jc w:val="center"/>
            </w:pPr>
            <w:r>
              <w:t>12:00～15:00</w:t>
            </w:r>
          </w:p>
        </w:tc>
        <w:tc>
          <w:tcPr>
            <w:vAlign w:val="center"/>
          </w:tcPr>
          <w:p>
            <w:pPr>
              <w:jc w:val="center"/>
            </w:pPr>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1.50</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1.50</w:t>
            </w:r>
          </w:p>
        </w:tc>
        <w:tc>
          <w:tcPr>
            <w:vAlign w:val="center"/>
          </w:tcPr>
          <w:p>
            <w:pPr>
              <w:jc w:val="center"/>
            </w:pPr>
            <w:r>
              <w:t>12:00～15:00</w:t>
            </w:r>
          </w:p>
        </w:tc>
        <w:tc>
          <w:tcPr>
            <w:vAlign w:val="center"/>
          </w:tcPr>
          <w:p>
            <w:pPr>
              <w:jc w:val="center"/>
            </w:pPr>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4,8～9</w:t>
            </w:r>
          </w:p>
        </w:tc>
        <w:tc>
          <w:tcPr>
            <w:vAlign w:val="center"/>
          </w:tcPr>
          <w:p>
            <w:pPr>
              <w:jc w:val="center"/>
            </w:pPr>
            <w:r>
              <w:t>1.50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1.50</w:t>
            </w:r>
          </w:p>
        </w:tc>
        <w:tc>
          <w:tcPr>
            <w:vAlign w:val="center"/>
          </w:tcPr>
          <w:p>
            <w:pPr>
              <w:jc w:val="center"/>
            </w:pPr>
            <w:r>
              <w:t>09:00～12:03</w:t>
            </w:r>
          </w:p>
        </w:tc>
        <w:tc>
          <w:tcPr>
            <w:vAlign w:val="center"/>
          </w:tcPr>
          <w:p>
            <w:pPr>
              <w:jc w:val="center"/>
            </w:pPr>
            <w:r>
              <w:t>03:03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1.50</w:t>
            </w:r>
          </w:p>
        </w:tc>
        <w:tc>
          <w:tcPr>
            <w:vAlign w:val="center"/>
          </w:tcPr>
          <w:p>
            <w:pPr>
              <w:jc w:val="center"/>
            </w:pPr>
            <w:r>
              <w:t>11:59～15:00</w:t>
            </w:r>
          </w:p>
        </w:tc>
        <w:tc>
          <w:tcPr>
            <w:vAlign w:val="center"/>
          </w:tcPr>
          <w:p>
            <w:pPr>
              <w:jc w:val="center"/>
            </w:pPr>
            <w:r>
              <w:t>03:01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1.50</w:t>
            </w:r>
          </w:p>
        </w:tc>
        <w:tc>
          <w:tcPr>
            <w:vAlign w:val="center"/>
          </w:tcPr>
          <w:p>
            <w:pPr>
              <w:jc w:val="center"/>
            </w:pPr>
            <w:r>
              <w:t>12:00～15:00</w:t>
            </w:r>
          </w:p>
        </w:tc>
        <w:tc>
          <w:tcPr>
            <w:vAlign w:val="center"/>
          </w:tcPr>
          <w:p>
            <w:pPr>
              <w:jc w:val="center"/>
            </w:pPr>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1.50</w:t>
            </w:r>
          </w:p>
        </w:tc>
        <w:tc>
          <w:tcPr>
            <w:vAlign w:val="center"/>
          </w:tcPr>
          <w:p>
            <w:pPr>
              <w:jc w:val="center"/>
            </w:pPr>
            <w:r>
              <w:t>11:58～15:00</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8～9</w:t>
            </w:r>
          </w:p>
        </w:tc>
        <w:tc>
          <w:tcPr>
            <w:vAlign w:val="center"/>
          </w:tcPr>
          <w:p>
            <w:pPr>
              <w:jc w:val="center"/>
            </w:pPr>
            <w:r>
              <w:t>4.50～6.00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10～10</w:t>
            </w:r>
          </w:p>
        </w:tc>
        <w:tc>
          <w:tcPr>
            <w:vAlign w:val="center"/>
          </w:tcPr>
          <w:p>
            <w:pPr>
              <w:jc w:val="center"/>
            </w:pPr>
            <w:r>
              <w:t>4.50～6.00</w:t>
            </w:r>
          </w:p>
        </w:tc>
        <w:tc>
          <w:tcPr>
            <w:vAlign w:val="center"/>
          </w:tcPr>
          <w:p>
            <w:pPr>
              <w:jc w:val="center"/>
            </w:pPr>
            <w:r>
              <w:t>09:00～12:03</w:t>
            </w:r>
          </w:p>
        </w:tc>
        <w:tc>
          <w:tcPr>
            <w:vAlign w:val="center"/>
          </w:tcPr>
          <w:p>
            <w:pPr>
              <w:jc w:val="center"/>
            </w:pPr>
            <w:r>
              <w:t>03:03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11～11</w:t>
            </w:r>
          </w:p>
        </w:tc>
        <w:tc>
          <w:tcPr>
            <w:vAlign w:val="center"/>
          </w:tcPr>
          <w:p>
            <w:pPr>
              <w:jc w:val="center"/>
            </w:pPr>
            <w:r>
              <w:t>4.50～6.00</w:t>
            </w:r>
          </w:p>
        </w:tc>
        <w:tc>
          <w:tcPr>
            <w:vAlign w:val="center"/>
          </w:tcPr>
          <w:p>
            <w:pPr>
              <w:jc w:val="center"/>
            </w:pPr>
            <w:r>
              <w:t>11:59～15:00</w:t>
            </w:r>
          </w:p>
        </w:tc>
        <w:tc>
          <w:tcPr>
            <w:vAlign w:val="center"/>
          </w:tcPr>
          <w:p>
            <w:pPr>
              <w:jc w:val="center"/>
            </w:pPr>
            <w:r>
              <w:t>03:01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4.50</w:t>
            </w:r>
          </w:p>
        </w:tc>
        <w:tc>
          <w:tcPr>
            <w:vAlign w:val="center"/>
          </w:tcPr>
          <w:p>
            <w:pPr>
              <w:jc w:val="center"/>
            </w:pPr>
            <w:r>
              <w:t>12:00～15:00</w:t>
            </w:r>
          </w:p>
        </w:tc>
        <w:tc>
          <w:tcPr>
            <w:vAlign w:val="center"/>
          </w:tcPr>
          <w:p>
            <w:pPr>
              <w:jc w:val="center"/>
            </w:pPr>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4.50</w:t>
            </w:r>
          </w:p>
        </w:tc>
        <w:tc>
          <w:tcPr>
            <w:vAlign w:val="center"/>
          </w:tcPr>
          <w:p>
            <w:pPr>
              <w:jc w:val="center"/>
            </w:pPr>
            <w:r>
              <w:t>11:58～15:00</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5～6</w:t>
            </w:r>
          </w:p>
        </w:tc>
        <w:tc>
          <w:tcPr>
            <w:vAlign w:val="center"/>
          </w:tcPr>
          <w:p>
            <w:pPr>
              <w:jc w:val="center"/>
            </w:pPr>
            <w:r>
              <w:t>1.50</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6.00</w:t>
            </w:r>
          </w:p>
        </w:tc>
        <w:tc>
          <w:tcPr>
            <w:vAlign w:val="center"/>
          </w:tcPr>
          <w:p>
            <w:pPr>
              <w:jc w:val="center"/>
            </w:pPr>
            <w:r>
              <w:t>12:00～15:00</w:t>
            </w:r>
          </w:p>
        </w:tc>
        <w:tc>
          <w:tcPr>
            <w:vAlign w:val="center"/>
          </w:tcPr>
          <w:p>
            <w:pPr>
              <w:jc w:val="center"/>
            </w:pPr>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6.00</w:t>
            </w:r>
          </w:p>
        </w:tc>
        <w:tc>
          <w:tcPr>
            <w:vAlign w:val="center"/>
          </w:tcPr>
          <w:p>
            <w:pPr>
              <w:jc w:val="center"/>
            </w:pPr>
            <w:r>
              <w:t>11:58～15:00</w:t>
            </w:r>
          </w:p>
        </w:tc>
        <w:tc>
          <w:tcPr>
            <w:vAlign w:val="center"/>
          </w:tcPr>
          <w:p>
            <w:pPr>
              <w:jc w:val="center"/>
            </w:pPr>
            <w:r>
              <w:t>03:02</w:t>
            </w:r>
          </w:p>
        </w:tc>
      </w:tr>
    </w:tbl>
    <w:p>
      <w:pPr>
        <w:spacing w:line="360" w:lineRule="auto"/>
        <w:rPr>
          <w:rFonts w:ascii="宋体" w:hAnsi="宋体"/>
          <w:sz w:val="22"/>
        </w:rPr>
      </w:pPr>
      <w:bookmarkStart w:id="27" w:name="ANALYSE_TABLE"/>
      <w:bookmarkEnd w:id="27"/>
      <w:bookmarkStart w:id="28" w:name="窗照分析表"/>
      <w:bookmarkEnd w:id="28"/>
    </w:p>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hint="eastAsia" w:ascii="宋体" w:hAnsi="宋体" w:eastAsia="宋体"/>
          <w:sz w:val="24"/>
          <w:szCs w:val="24"/>
          <w:lang w:eastAsia="zh-CN"/>
        </w:rPr>
      </w:pPr>
      <w:bookmarkStart w:id="29" w:name="_GoBack"/>
      <w:r>
        <w:rPr>
          <w:rFonts w:hint="eastAsia" w:ascii="宋体" w:hAnsi="宋体" w:eastAsia="宋体"/>
          <w:sz w:val="24"/>
          <w:szCs w:val="24"/>
          <w:lang w:eastAsia="zh-CN"/>
        </w:rPr>
        <w:drawing>
          <wp:inline distT="0" distB="0" distL="114300" distR="114300">
            <wp:extent cx="5937885" cy="4860925"/>
            <wp:effectExtent l="0" t="0" r="5715" b="635"/>
            <wp:docPr id="1" name="图片 1" descr="M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ONI"/>
                    <pic:cNvPicPr>
                      <a:picLocks noChangeAspect="1"/>
                    </pic:cNvPicPr>
                  </pic:nvPicPr>
                  <pic:blipFill>
                    <a:blip r:embed="rId7"/>
                    <a:stretch>
                      <a:fillRect/>
                    </a:stretch>
                  </pic:blipFill>
                  <pic:spPr>
                    <a:xfrm>
                      <a:off x="0" y="0"/>
                      <a:ext cx="5937885" cy="4860925"/>
                    </a:xfrm>
                    <a:prstGeom prst="rect">
                      <a:avLst/>
                    </a:prstGeom>
                    <a:noFill/>
                    <a:ln>
                      <a:noFill/>
                    </a:ln>
                  </pic:spPr>
                </pic:pic>
              </a:graphicData>
            </a:graphic>
          </wp:inline>
        </w:drawing>
      </w:r>
      <w:bookmarkEnd w:id="29"/>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hint="eastAsia" w:ascii="宋体" w:hAnsi="宋体"/>
          <w:sz w:val="24"/>
        </w:rPr>
      </w:pPr>
      <w:r>
        <w:rPr>
          <w:rFonts w:hint="eastAsia" w:ascii="宋体" w:hAnsi="宋体"/>
          <w:sz w:val="24"/>
        </w:rPr>
        <w:t>附录：住房和城乡建设部认证文件</w:t>
      </w:r>
    </w:p>
    <w:p>
      <w:pPr>
        <w:spacing w:line="360" w:lineRule="auto"/>
        <w:ind w:firstLine="465"/>
        <w:rPr>
          <w:rFonts w:hint="eastAsia" w:ascii="宋体" w:hAnsi="宋体"/>
          <w:sz w:val="24"/>
        </w:rPr>
      </w:pP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3"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H4TDQ7EBAABlAwAADgAAAAAAAAABACAAAAAlAQAAZHJzL2Uyb0RvYy54bWxQSwUGAAAAAAYABgBZ&#10;AQAASAU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YTMxZWYxZWY3MjA1ZmNlM2U3NDk3NzY2ZjkzNmUifQ=="/>
  </w:docVars>
  <w:rsids>
    <w:rsidRoot w:val="27C52DBA"/>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27C52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Char"/>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6</Pages>
  <Words>1935</Words>
  <Characters>2320</Characters>
  <Lines>18</Lines>
  <Paragraphs>5</Paragraphs>
  <TotalTime>12</TotalTime>
  <ScaleCrop>false</ScaleCrop>
  <LinksUpToDate>false</LinksUpToDate>
  <CharactersWithSpaces>2890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2024-03-08T13:19:00Z</dcterms:created>
  <dc:creator>是能能呀</dc:creator>
  <cp:lastModifiedBy>是能能呀</cp:lastModifiedBy>
  <dcterms:modified xsi:type="dcterms:W3CDTF">2024-03-08T13:20:26Z</dcterms:modified>
  <dc:title>通用日照分析报告模板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2AB3981C31BA4B24A16518DED192E263_11</vt:lpwstr>
  </property>
  <property fmtid="{D5CDD505-2E9C-101B-9397-08002B2CF9AE}" pid="3" name="KSOProductBuildVer">
    <vt:lpwstr>2052-12.1.0.16388</vt:lpwstr>
  </property>
</Properties>
</file>