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临安天工农贸市场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浙江省杭州市临安区广场路18号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/>
              </w:rPr>
              <w:t>BK2A60150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  <w:r>
              <w:rPr>
                <w:rFonts w:hint="eastAsia"/>
              </w:rPr>
              <w:t>浙江农林大学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张楠、徐婷、林心悦、陈梓涵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2024年01月07日</w:t>
            </w:r>
            <w:bookmarkEnd w:id="4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5" w:name="二维码"/>
      <w:bookmarkEnd w:id="5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6" w:name="软件版本"/>
            <w:r>
              <w:rPr>
                <w:rFonts w:ascii="宋体" w:hAnsi="宋体"/>
              </w:rPr>
              <w:t>20220808（SP1）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7" w:name="加密锁号"/>
            <w:r>
              <w:t>T19857138806</w:t>
            </w:r>
            <w:bookmarkEnd w:id="7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8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"_Toc155539063"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_Toc155539063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"_Toc155539064"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_Toc155539064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"_Toc155539065"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_Toc155539065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"_Toc155539066"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_Toc155539066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"_Toc155539067"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_Toc155539067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"_Toc155539068"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_Toc155539068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"_Toc155539069"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_Toc155539069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"_Toc155539070"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_Toc155539070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"_Toc155539071"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_Toc155539071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"_Toc155539072"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_Toc155539072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"_Toc155539073"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_Toc155539073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"_Toc155539074"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_Toc155539074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"_Toc155539075"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_Toc155539075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"_Toc155539076"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_Toc155539076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"_Toc155539077"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_Toc155539077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"_Toc155539078"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_Toc155539078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"_Toc155539079"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_Toc155539079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8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9" w:name="_Toc452108759"/>
      <w:bookmarkStart w:id="10" w:name="_Toc155539063"/>
      <w:r>
        <w:rPr>
          <w:rFonts w:hint="eastAsia"/>
        </w:rPr>
        <w:t>项目概况</w:t>
      </w:r>
      <w:bookmarkEnd w:id="9"/>
      <w:bookmarkEnd w:id="10"/>
    </w:p>
    <w:p>
      <w:pPr>
        <w:pStyle w:val="3"/>
        <w:ind w:firstLine="420"/>
        <w:rPr>
          <w:lang w:val="en-US"/>
        </w:rPr>
      </w:pPr>
      <w:bookmarkStart w:id="11" w:name="项目概况"/>
      <w:bookmarkEnd w:id="11"/>
      <w:r>
        <w:rPr>
          <w:rFonts w:hint="eastAsia"/>
          <w:lang w:val="en-US"/>
        </w:rPr>
        <w:t>清新绿谷集市改造项目旨在通过创新的设计和可持续发展的理念，将传统的农贸市场转变为一个宜居、环保、健康的现代市场。我们的目标是提高市场整体环境质量，改善顾客和商户体验，同时推动绿色发展和社区活力。在风环境改善方面，我们采取了多项措施。首先，通过布置太阳烟囱-捕风塔-导光管一体化系统，成功提升了建筑内部的风场，解决了通风不畅的问题。这一系统的设置不仅有利于室外新风的进入，还能有效排出室内的浊气，创造出一个清新的氛围。此外，我们调整了门窗的位置和可开启大小，合理组织气流形式，进一步优化了室内的通风状况。为了改善光环境，我们将朝南墙体部分改为玻璃幕墙，解决了市场内部昏暗的问题。通过这一改造，各房间光线充足，照度均匀，平衡了靠窗商户和室内商户的阳光权。同时，我们布置了太阳烟囱-捕风塔-导光管一体化系统，引导更多自然光进入建筑内部。在中庭楼梯间设置采光天井，以及对亮度高的房间采用带百叶的节能窗，进一步提高了整体的光环境。为加强市场内外的隔声效果，我们沿街布置了绿化带，并在屋顶层设置了吸声吊顶。这一系列的改造措施有效地减少了市场内部与外界的噪音干扰，为顾客提供了更加安静、宁静的购物环境，与周边居民楼互不产生影响。在热环境改善方面，我们设置了全空气变风量（VAV）机组，解决了建筑内部夏热冬冷的问题。此外，我们采用了屋顶水平绿化和在停车场布置阶梯花园的方式，进一步提升了市场的热环境舒适度。通过使用高透射低辐射玻璃、布置被动式保温隔热节能窗配系统，以及采用低导热系统建材和布置保温隔热层，我们成功降低了冷热负荷，使夏冬季室内温度更为宜人。在节能减排方面，我们采取了多项举措，如增加建筑及周围环境的碳汇、设置光伏幕墙和太阳能板，以及布置雨水废水回收系统。这些措施不仅有助于减少能源浪费，还推动了绿色能源的利用。此外，我们在新型市场环境方面，通过在屋顶和阶梯花园布置种植农场，以及合理利用废弃库房，布置活动休息室，提升了市场的活力，改善了商户和居民的生活体验。清新绿谷集市的改造项目不仅着眼于提高市场的商业竞争力，更注重打造一个具有社区意识、可持续发展理念的绿色市场。通过改善风、光、声、热等环境，引入新型的节能减排措施，以及各种创新的设施设备，我们相信改造后的农贸市场将成为周边建筑群中的低碳环保典范，为城市建筑环境注入更多绿色活力。</w:t>
      </w:r>
      <w:bookmarkStart w:id="62" w:name="_GoBack"/>
      <w:bookmarkEnd w:id="62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2" w:name="_Toc452108760"/>
      <w:bookmarkStart w:id="13" w:name="_Toc155539064"/>
      <w:r>
        <w:t>平面图</w:t>
      </w:r>
      <w:bookmarkEnd w:id="12"/>
      <w:bookmarkEnd w:id="13"/>
    </w:p>
    <w:p>
      <w:pPr>
        <w:pStyle w:val="3"/>
        <w:ind w:firstLine="0" w:firstLineChars="0"/>
        <w:jc w:val="center"/>
        <w:rPr>
          <w:lang w:val="en-US"/>
        </w:rPr>
      </w:pPr>
      <w:bookmarkStart w:id="14" w:name="平面图"/>
      <w:bookmarkEnd w:id="14"/>
      <w:r>
        <w:drawing>
          <wp:inline distT="0" distB="0" distL="0" distR="0">
            <wp:extent cx="5667375" cy="56292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70547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40005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781425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37814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5" w:name="_Toc155539065"/>
      <w:bookmarkStart w:id="16" w:name="_Toc452108761"/>
      <w:r>
        <w:rPr>
          <w:rFonts w:hint="eastAsia"/>
        </w:rPr>
        <w:t>三</w:t>
      </w:r>
      <w:r>
        <w:t>维视图</w:t>
      </w:r>
      <w:bookmarkEnd w:id="15"/>
      <w:bookmarkEnd w:id="16"/>
    </w:p>
    <w:p>
      <w:pPr>
        <w:pStyle w:val="3"/>
        <w:ind w:firstLine="0" w:firstLineChars="0"/>
        <w:jc w:val="center"/>
        <w:rPr>
          <w:lang w:val="en-US"/>
        </w:rPr>
      </w:pPr>
      <w:bookmarkStart w:id="17" w:name="模型观察"/>
      <w:r>
        <w:t>请先在【模型观察】命令中保存图片</w:t>
      </w:r>
      <w:bookmarkEnd w:id="17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18" w:name="TitleFormat"/>
      <w:bookmarkStart w:id="19" w:name="_Toc452108762"/>
      <w:bookmarkStart w:id="20" w:name="_Toc155539066"/>
      <w:r>
        <w:rPr>
          <w:rFonts w:hint="eastAsia"/>
        </w:rPr>
        <w:t>计算</w:t>
      </w:r>
      <w:r>
        <w:t>依据</w:t>
      </w:r>
      <w:bookmarkEnd w:id="18"/>
      <w:bookmarkEnd w:id="19"/>
      <w:bookmarkEnd w:id="20"/>
    </w:p>
    <w:p>
      <w:pPr>
        <w:pStyle w:val="3"/>
        <w:ind w:firstLine="199" w:firstLineChars="95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2" w:name="参考标准名称1"/>
      <w:r>
        <w:rPr>
          <w:rFonts w:hint="eastAsia"/>
          <w:lang w:val="en-US"/>
        </w:rPr>
        <w:t>《绿色建筑评价标准》GB/T50378-2019</w:t>
      </w:r>
      <w:bookmarkEnd w:id="22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3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3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4" w:name="_Hlk13516321"/>
    </w:p>
    <w:bookmarkEnd w:id="24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5" w:name="_Toc155539067"/>
      <w:r>
        <w:rPr>
          <w:rFonts w:hint="eastAsia"/>
        </w:rPr>
        <w:t>参考</w:t>
      </w:r>
      <w:r>
        <w:t>标准</w:t>
      </w:r>
      <w:bookmarkEnd w:id="21"/>
      <w:bookmarkEnd w:id="25"/>
    </w:p>
    <w:p>
      <w:pPr>
        <w:pStyle w:val="3"/>
        <w:ind w:firstLine="420"/>
        <w:rPr>
          <w:lang w:val="en-US"/>
        </w:rPr>
      </w:pPr>
      <w:bookmarkStart w:id="26" w:name="_Toc451698935"/>
      <w:bookmarkStart w:id="27" w:name="_Toc452108764"/>
      <w:r>
        <w:rPr>
          <w:rFonts w:hint="eastAsia"/>
          <w:lang w:val="en-US"/>
        </w:rPr>
        <w:t>室内热舒适评价的主要依据为</w:t>
      </w:r>
      <w:bookmarkStart w:id="28" w:name="参考标准名称2"/>
      <w:r>
        <w:rPr>
          <w:rFonts w:hint="eastAsia"/>
          <w:lang w:val="en-US"/>
        </w:rPr>
        <w:t>《绿色建筑评价标准》GB/T50378-2019</w:t>
      </w:r>
      <w:bookmarkEnd w:id="28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29" w:name="_Toc155539068"/>
      <w:r>
        <w:rPr>
          <w:rFonts w:hint="eastAsia"/>
        </w:rPr>
        <w:t>计算</w:t>
      </w:r>
      <w:bookmarkEnd w:id="26"/>
      <w:bookmarkEnd w:id="27"/>
      <w:r>
        <w:rPr>
          <w:rFonts w:hint="eastAsia"/>
        </w:rPr>
        <w:t>方法</w:t>
      </w:r>
      <w:bookmarkEnd w:id="2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0" w:name="_Toc155539069"/>
      <w:r>
        <w:rPr>
          <w:rFonts w:hint="eastAsia"/>
        </w:rPr>
        <w:t>参数定义</w:t>
      </w:r>
      <w:bookmarkEnd w:id="30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1" w:name="_Toc155539070"/>
      <w:r>
        <w:rPr>
          <w:rFonts w:hint="eastAsia"/>
        </w:rPr>
        <w:t>计算流程</w:t>
      </w:r>
      <w:bookmarkEnd w:id="31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2" w:name="_Hlk36153165"/>
      <w:r>
        <w:rPr>
          <w:rFonts w:hint="eastAsia"/>
          <w:szCs w:val="21"/>
        </w:rPr>
        <w:t>室内适应性舒适温度时间比例</w:t>
      </w:r>
      <w:bookmarkEnd w:id="32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3" w:name="_Toc155539071"/>
      <w:r>
        <w:rPr>
          <w:rFonts w:hint="eastAsia"/>
        </w:rPr>
        <w:t>计算参数</w:t>
      </w:r>
      <w:bookmarkEnd w:id="33"/>
    </w:p>
    <w:p>
      <w:pPr>
        <w:pStyle w:val="5"/>
      </w:pPr>
      <w:bookmarkStart w:id="34" w:name="_Toc155539072"/>
      <w:r>
        <w:rPr>
          <w:rFonts w:hint="eastAsia"/>
        </w:rPr>
        <w:t>室外月平均温度</w:t>
      </w:r>
      <w:bookmarkEnd w:id="34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5" w:name="站台城市"/>
      <w:r>
        <w:rPr>
          <w:rFonts w:hint="eastAsia" w:ascii="Calibri" w:hAnsi="Calibri"/>
          <w:kern w:val="2"/>
          <w:lang w:val="en-US"/>
        </w:rPr>
        <w:t>杭州</w:t>
      </w:r>
      <w:bookmarkEnd w:id="35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6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6"/>
      <w:r>
        <w:drawing>
          <wp:inline distT="0" distB="0" distL="0" distR="0">
            <wp:extent cx="5667375" cy="2838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7" w:name="_Toc155539073"/>
      <w:r>
        <w:rPr>
          <w:rFonts w:hint="eastAsia"/>
        </w:rPr>
        <w:t>室内热舒适温度</w:t>
      </w:r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38" w:name="室内热舒适温度表"/>
            <w:r>
              <w:rPr>
                <w:rFonts w:hint="eastAsia"/>
              </w:rPr>
              <w:t>室外月平均温度</w:t>
            </w:r>
            <w:bookmarkEnd w:id="38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5.2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10.8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18.2~25.2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6.5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39" w:name="_Toc155539074"/>
      <w:r>
        <w:rPr>
          <w:rFonts w:hint="eastAsia"/>
        </w:rPr>
        <w:t>参评时间</w:t>
      </w:r>
      <w:r>
        <w:t>段</w:t>
      </w:r>
      <w:bookmarkEnd w:id="39"/>
    </w:p>
    <w:p>
      <w:pPr>
        <w:pStyle w:val="3"/>
        <w:ind w:firstLine="420"/>
        <w:rPr>
          <w:lang w:val="en-US"/>
        </w:rPr>
      </w:pPr>
      <w:bookmarkStart w:id="40" w:name="参评时间段"/>
      <w:r>
        <w:rPr>
          <w:rFonts w:hint="eastAsia"/>
          <w:lang w:val="en-US"/>
        </w:rPr>
        <w:t>1月1日至12月31日。</w:t>
      </w:r>
      <w:bookmarkEnd w:id="40"/>
    </w:p>
    <w:p>
      <w:pPr>
        <w:pStyle w:val="5"/>
      </w:pPr>
      <w:bookmarkStart w:id="41" w:name="_Toc155539075"/>
      <w:r>
        <w:rPr>
          <w:rFonts w:hint="eastAsia"/>
        </w:rPr>
        <w:t>围护结构热工性能参数</w:t>
      </w:r>
      <w:bookmarkEnd w:id="41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轻质混合种植土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0.470</w:t>
            </w:r>
          </w:p>
        </w:tc>
        <w:tc>
          <w:tcPr>
            <w:tcW w:w="1075" w:type="dxa"/>
            <w:vAlign w:val="center"/>
          </w:tcPr>
          <w:p>
            <w:r>
              <w:t>6.436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0.426</w:t>
            </w:r>
          </w:p>
        </w:tc>
        <w:tc>
          <w:tcPr>
            <w:tcW w:w="1064" w:type="dxa"/>
            <w:vAlign w:val="center"/>
          </w:tcPr>
          <w:p>
            <w:r>
              <w:t>4.108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陶粒排（蓄）水层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0.260</w:t>
            </w:r>
          </w:p>
        </w:tc>
        <w:tc>
          <w:tcPr>
            <w:tcW w:w="1075" w:type="dxa"/>
            <w:vAlign w:val="center"/>
          </w:tcPr>
          <w:p>
            <w:r>
              <w:t>4.366</w:t>
            </w:r>
          </w:p>
        </w:tc>
        <w:tc>
          <w:tcPr>
            <w:tcW w:w="848" w:type="dxa"/>
            <w:vAlign w:val="center"/>
          </w:tcPr>
          <w:p>
            <w:r>
              <w:t>1.50</w:t>
            </w:r>
          </w:p>
        </w:tc>
        <w:tc>
          <w:tcPr>
            <w:tcW w:w="1075" w:type="dxa"/>
            <w:vAlign w:val="center"/>
          </w:tcPr>
          <w:p>
            <w:r>
              <w:t>0.256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挤塑聚苯板</w:t>
            </w:r>
          </w:p>
        </w:tc>
        <w:tc>
          <w:tcPr>
            <w:tcW w:w="849" w:type="dxa"/>
            <w:vAlign w:val="center"/>
          </w:tcPr>
          <w:p>
            <w:r>
              <w:t>45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1.364</w:t>
            </w:r>
          </w:p>
        </w:tc>
        <w:tc>
          <w:tcPr>
            <w:tcW w:w="1064" w:type="dxa"/>
            <w:vAlign w:val="center"/>
          </w:tcPr>
          <w:p>
            <w:r>
              <w:t>0.476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防水层</w:t>
            </w:r>
          </w:p>
        </w:tc>
        <w:tc>
          <w:tcPr>
            <w:tcW w:w="849" w:type="dxa"/>
            <w:vAlign w:val="center"/>
          </w:tcPr>
          <w:p>
            <w:r>
              <w:t>2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水泥砂浆（1）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现浇混凝土屋面板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混合砂浆</w:t>
            </w:r>
          </w:p>
        </w:tc>
        <w:tc>
          <w:tcPr>
            <w:tcW w:w="849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0.017</w:t>
            </w:r>
          </w:p>
        </w:tc>
        <w:tc>
          <w:tcPr>
            <w:tcW w:w="1064" w:type="dxa"/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642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2.187</w:t>
            </w:r>
          </w:p>
        </w:tc>
        <w:tc>
          <w:tcPr>
            <w:tcW w:w="1064" w:type="dxa"/>
            <w:vAlign w:val="center"/>
          </w:tcPr>
          <w:p>
            <w:r>
              <w:t>8.297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抗裂砂浆（玻纤网）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蒸压加气混凝土砌块（B07）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1.067</w:t>
            </w:r>
          </w:p>
        </w:tc>
        <w:tc>
          <w:tcPr>
            <w:tcW w:w="1064" w:type="dxa"/>
            <w:vAlign w:val="center"/>
          </w:tcPr>
          <w:p>
            <w:r>
              <w:t>4.787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聚合物水泥石灰砂浆</w:t>
            </w:r>
          </w:p>
        </w:tc>
        <w:tc>
          <w:tcPr>
            <w:tcW w:w="849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1.956</w:t>
            </w:r>
          </w:p>
        </w:tc>
        <w:tc>
          <w:tcPr>
            <w:tcW w:w="1064" w:type="dxa"/>
            <w:vAlign w:val="center"/>
          </w:tcPr>
          <w:p>
            <w:r>
              <w:t>5.674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0.48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抗裂砂浆（玻纤网）</w:t>
            </w:r>
          </w:p>
        </w:tc>
        <w:tc>
          <w:tcPr>
            <w:tcW w:w="849" w:type="dxa"/>
            <w:vAlign w:val="center"/>
          </w:tcPr>
          <w:p>
            <w:r>
              <w:t>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岩棉板(用于外墙外保温)</w:t>
            </w:r>
          </w:p>
        </w:tc>
        <w:tc>
          <w:tcPr>
            <w:tcW w:w="849" w:type="dxa"/>
            <w:vAlign w:val="center"/>
          </w:tcPr>
          <w:p>
            <w:r>
              <w:t>35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1075" w:type="dxa"/>
            <w:vAlign w:val="center"/>
          </w:tcPr>
          <w:p>
            <w:r>
              <w:t>0.833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0.875</w:t>
            </w:r>
          </w:p>
        </w:tc>
        <w:tc>
          <w:tcPr>
            <w:tcW w:w="1064" w:type="dxa"/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聚合物水泥石灰砂浆</w:t>
            </w:r>
          </w:p>
        </w:tc>
        <w:tc>
          <w:tcPr>
            <w:tcW w:w="849" w:type="dxa"/>
            <w:vAlign w:val="center"/>
          </w:tcPr>
          <w:p>
            <w:r>
              <w:t>8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0.009</w:t>
            </w:r>
          </w:p>
        </w:tc>
        <w:tc>
          <w:tcPr>
            <w:tcW w:w="1064" w:type="dxa"/>
            <w:vAlign w:val="center"/>
          </w:tcPr>
          <w:p>
            <w:r>
              <w:t>0.097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288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1.027</w:t>
            </w:r>
          </w:p>
        </w:tc>
        <w:tc>
          <w:tcPr>
            <w:tcW w:w="1064" w:type="dxa"/>
            <w:vAlign w:val="center"/>
          </w:tcPr>
          <w:p>
            <w:r>
              <w:t>3.259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0.85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材料名称</w:t>
            </w:r>
          </w:p>
          <w:p>
            <w:pPr>
              <w:jc w:val="center"/>
            </w:pP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6中透光Low-E+12空气+6透明-多腔塑料窗框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0.000</w:t>
            </w:r>
          </w:p>
        </w:tc>
        <w:tc>
          <w:tcPr>
            <w:tcW w:w="1064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/>
        </w:tc>
        <w:tc>
          <w:tcPr>
            <w:tcW w:w="5986" w:type="dxa"/>
            <w:gridSpan w:val="6"/>
          </w:tcPr>
          <w:p>
            <w:pPr>
              <w:jc w:val="center"/>
            </w:pP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6中透光Low-E+12氩气+6透明-隔热金属多腔密封窗框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6中透光Low-E+12氩气+6透明-多腔塑料窗框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0.80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13</w:t>
      </w:r>
      <w:r>
        <w:fldChar w:fldCharType="end"/>
      </w:r>
      <w:r>
        <w:rPr>
          <w:rFonts w:hint="eastAsia"/>
        </w:rPr>
        <w:t>天窗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6中透光Low-E+12氩气+6透明-隔热金属多腔密封窗框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bookmarkStart w:id="42" w:name="_Toc36538848"/>
      <w:bookmarkStart w:id="43" w:name="_Toc451436145"/>
      <w:bookmarkStart w:id="44" w:name="_Toc451698937"/>
      <w:bookmarkStart w:id="45" w:name="_Toc45210876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14</w:t>
      </w:r>
      <w:r>
        <w:fldChar w:fldCharType="end"/>
      </w:r>
      <w:bookmarkStart w:id="46" w:name="表名"/>
      <w:r>
        <w:rPr>
          <w:rFonts w:hint="eastAsia"/>
        </w:rPr>
        <w:t>内窗</w:t>
      </w:r>
      <w:bookmarkEnd w:id="42"/>
      <w:bookmarkEnd w:id="46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7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6中透光Low-E+12氩气+6透明-隔热金属多腔密封窗框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2.10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0.36</w:t>
            </w:r>
          </w:p>
        </w:tc>
      </w:tr>
      <w:bookmarkEnd w:id="43"/>
      <w:bookmarkEnd w:id="44"/>
      <w:bookmarkEnd w:id="45"/>
      <w:bookmarkEnd w:id="47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>
      <w:pPr>
        <w:pStyle w:val="5"/>
      </w:pPr>
      <w:bookmarkStart w:id="49" w:name="_Toc155539076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0" w:name="标题"/>
      <w:r>
        <w:rPr>
          <w:lang w:val="en-US"/>
        </w:rPr>
        <w:t>工作日/节假日设备逐时使用率(%)</w:t>
      </w:r>
      <w:bookmarkEnd w:id="50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1" w:name="房间类型"/>
      <w:bookmarkEnd w:id="51"/>
    </w:p>
    <w:p>
      <w:pPr>
        <w:pStyle w:val="2"/>
      </w:pPr>
      <w:bookmarkStart w:id="52" w:name="_Toc3745"/>
      <w:bookmarkStart w:id="53" w:name="_Toc155539077"/>
      <w:bookmarkStart w:id="54" w:name="_Toc452108768"/>
      <w:r>
        <w:rPr>
          <w:rFonts w:hint="eastAsia"/>
        </w:rPr>
        <w:t>结果</w:t>
      </w:r>
      <w:r>
        <w:t>分析</w:t>
      </w:r>
      <w:bookmarkEnd w:id="52"/>
      <w:bookmarkEnd w:id="53"/>
      <w:bookmarkEnd w:id="54"/>
    </w:p>
    <w:p>
      <w:pPr>
        <w:pStyle w:val="4"/>
      </w:pPr>
      <w:bookmarkStart w:id="55" w:name="_Toc155539078"/>
      <w:r>
        <w:rPr>
          <w:rFonts w:hint="eastAsia"/>
        </w:rPr>
        <w:t>室内适应性热舒适温度达标比例统计</w:t>
      </w:r>
      <w:bookmarkEnd w:id="55"/>
      <w:bookmarkStart w:id="56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1001</w:t>
            </w:r>
          </w:p>
        </w:tc>
        <w:tc>
          <w:tcPr>
            <w:tcW w:w="3186" w:type="dxa"/>
            <w:vAlign w:val="center"/>
          </w:tcPr>
          <w:p>
            <w:r>
              <w:t>展厅（单层及顶层）</w:t>
            </w:r>
          </w:p>
        </w:tc>
        <w:tc>
          <w:tcPr>
            <w:tcW w:w="1075" w:type="dxa"/>
            <w:vAlign w:val="center"/>
          </w:tcPr>
          <w:p>
            <w:r>
              <w:t>3051.8</w:t>
            </w:r>
          </w:p>
        </w:tc>
        <w:tc>
          <w:tcPr>
            <w:tcW w:w="3356" w:type="dxa"/>
            <w:vAlign w:val="center"/>
          </w:tcPr>
          <w:p>
            <w:r>
              <w:t>60.73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展厅（单层及顶层）</w:t>
            </w:r>
          </w:p>
        </w:tc>
        <w:tc>
          <w:tcPr>
            <w:tcW w:w="1075" w:type="dxa"/>
            <w:vAlign w:val="center"/>
          </w:tcPr>
          <w:p>
            <w:r>
              <w:t>2438.2</w:t>
            </w:r>
          </w:p>
        </w:tc>
        <w:tc>
          <w:tcPr>
            <w:tcW w:w="3356" w:type="dxa"/>
            <w:vAlign w:val="center"/>
          </w:tcPr>
          <w:p>
            <w:r>
              <w:t>59.36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3</w:t>
            </w:r>
          </w:p>
        </w:tc>
        <w:tc>
          <w:tcPr>
            <w:tcW w:w="1992" w:type="dxa"/>
            <w:vAlign w:val="center"/>
          </w:tcPr>
          <w:p>
            <w:r>
              <w:t>3001</w:t>
            </w:r>
          </w:p>
        </w:tc>
        <w:tc>
          <w:tcPr>
            <w:tcW w:w="3186" w:type="dxa"/>
            <w:vAlign w:val="center"/>
          </w:tcPr>
          <w:p>
            <w:r>
              <w:t>展厅（单层及顶层）</w:t>
            </w:r>
          </w:p>
        </w:tc>
        <w:tc>
          <w:tcPr>
            <w:tcW w:w="1075" w:type="dxa"/>
            <w:vAlign w:val="center"/>
          </w:tcPr>
          <w:p>
            <w:r>
              <w:t>120.9</w:t>
            </w:r>
          </w:p>
        </w:tc>
        <w:tc>
          <w:tcPr>
            <w:tcW w:w="3356" w:type="dxa"/>
            <w:vAlign w:val="center"/>
          </w:tcPr>
          <w:p>
            <w:r>
              <w:t>59.93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3007</w:t>
            </w:r>
          </w:p>
        </w:tc>
        <w:tc>
          <w:tcPr>
            <w:tcW w:w="3186" w:type="dxa"/>
            <w:vAlign w:val="center"/>
          </w:tcPr>
          <w:p>
            <w:r>
              <w:t>办公-普通办公室</w:t>
            </w:r>
          </w:p>
        </w:tc>
        <w:tc>
          <w:tcPr>
            <w:tcW w:w="1075" w:type="dxa"/>
            <w:vAlign w:val="center"/>
          </w:tcPr>
          <w:p>
            <w:r>
              <w:t>18.7</w:t>
            </w:r>
          </w:p>
        </w:tc>
        <w:tc>
          <w:tcPr>
            <w:tcW w:w="3356" w:type="dxa"/>
            <w:vAlign w:val="center"/>
          </w:tcPr>
          <w:p>
            <w:r>
              <w:t>40.74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68.5</w:t>
            </w:r>
          </w:p>
        </w:tc>
        <w:tc>
          <w:tcPr>
            <w:tcW w:w="3356" w:type="dxa"/>
            <w:vAlign w:val="center"/>
          </w:tcPr>
          <w:p>
            <w:r>
              <w:t>47.73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3009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55.1</w:t>
            </w:r>
          </w:p>
        </w:tc>
        <w:tc>
          <w:tcPr>
            <w:tcW w:w="3356" w:type="dxa"/>
            <w:vAlign w:val="center"/>
          </w:tcPr>
          <w:p>
            <w:r>
              <w:t>46.76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52.9</w:t>
            </w:r>
          </w:p>
        </w:tc>
        <w:tc>
          <w:tcPr>
            <w:tcW w:w="3356" w:type="dxa"/>
            <w:vAlign w:val="center"/>
          </w:tcPr>
          <w:p>
            <w:r>
              <w:t>49.05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35.3</w:t>
            </w:r>
          </w:p>
        </w:tc>
        <w:tc>
          <w:tcPr>
            <w:tcW w:w="3356" w:type="dxa"/>
            <w:vAlign w:val="center"/>
          </w:tcPr>
          <w:p>
            <w:r>
              <w:t>52.16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1366.3</w:t>
            </w:r>
          </w:p>
        </w:tc>
        <w:tc>
          <w:tcPr>
            <w:tcW w:w="3356" w:type="dxa"/>
            <w:vAlign w:val="center"/>
          </w:tcPr>
          <w:p>
            <w:r>
              <w:t>50.81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29.7</w:t>
            </w:r>
          </w:p>
        </w:tc>
        <w:tc>
          <w:tcPr>
            <w:tcW w:w="3356" w:type="dxa"/>
            <w:vAlign w:val="center"/>
          </w:tcPr>
          <w:p>
            <w:r>
              <w:t>48.16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52.9</w:t>
            </w:r>
          </w:p>
        </w:tc>
        <w:tc>
          <w:tcPr>
            <w:tcW w:w="3356" w:type="dxa"/>
            <w:vAlign w:val="center"/>
          </w:tcPr>
          <w:p>
            <w:r>
              <w:t>50.75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26.0</w:t>
            </w:r>
          </w:p>
        </w:tc>
        <w:tc>
          <w:tcPr>
            <w:tcW w:w="3356" w:type="dxa"/>
            <w:vAlign w:val="center"/>
          </w:tcPr>
          <w:p>
            <w:r>
              <w:t>53.49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52.9</w:t>
            </w:r>
          </w:p>
        </w:tc>
        <w:tc>
          <w:tcPr>
            <w:tcW w:w="3356" w:type="dxa"/>
            <w:vAlign w:val="center"/>
          </w:tcPr>
          <w:p>
            <w:r>
              <w:t>50.65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26.0</w:t>
            </w:r>
          </w:p>
        </w:tc>
        <w:tc>
          <w:tcPr>
            <w:tcW w:w="3356" w:type="dxa"/>
            <w:vAlign w:val="center"/>
          </w:tcPr>
          <w:p>
            <w:r>
              <w:t>53.31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3019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20.0</w:t>
            </w:r>
          </w:p>
        </w:tc>
        <w:tc>
          <w:tcPr>
            <w:tcW w:w="3356" w:type="dxa"/>
            <w:vAlign w:val="center"/>
          </w:tcPr>
          <w:p>
            <w:r>
              <w:t>53.98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57.4</w:t>
            </w:r>
          </w:p>
        </w:tc>
        <w:tc>
          <w:tcPr>
            <w:tcW w:w="3356" w:type="dxa"/>
            <w:vAlign w:val="center"/>
          </w:tcPr>
          <w:p>
            <w:r>
              <w:t>48.25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36.0</w:t>
            </w:r>
          </w:p>
        </w:tc>
        <w:tc>
          <w:tcPr>
            <w:tcW w:w="3356" w:type="dxa"/>
            <w:vAlign w:val="center"/>
          </w:tcPr>
          <w:p>
            <w:r>
              <w:t>52.81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36.0</w:t>
            </w:r>
          </w:p>
        </w:tc>
        <w:tc>
          <w:tcPr>
            <w:tcW w:w="3356" w:type="dxa"/>
            <w:vAlign w:val="center"/>
          </w:tcPr>
          <w:p>
            <w:r>
              <w:t>52.77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20.0</w:t>
            </w:r>
          </w:p>
        </w:tc>
        <w:tc>
          <w:tcPr>
            <w:tcW w:w="3356" w:type="dxa"/>
            <w:vAlign w:val="center"/>
          </w:tcPr>
          <w:p>
            <w:r>
              <w:t>53.80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26.0</w:t>
            </w:r>
          </w:p>
        </w:tc>
        <w:tc>
          <w:tcPr>
            <w:tcW w:w="3356" w:type="dxa"/>
            <w:vAlign w:val="center"/>
          </w:tcPr>
          <w:p>
            <w:r>
              <w:t>52.37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60.8</w:t>
            </w:r>
          </w:p>
        </w:tc>
        <w:tc>
          <w:tcPr>
            <w:tcW w:w="3356" w:type="dxa"/>
            <w:vAlign w:val="center"/>
          </w:tcPr>
          <w:p>
            <w:r>
              <w:t>53.09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61.3</w:t>
            </w:r>
          </w:p>
        </w:tc>
        <w:tc>
          <w:tcPr>
            <w:tcW w:w="3356" w:type="dxa"/>
            <w:vAlign w:val="center"/>
          </w:tcPr>
          <w:p>
            <w:r>
              <w:t>52.77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41.1</w:t>
            </w:r>
          </w:p>
        </w:tc>
        <w:tc>
          <w:tcPr>
            <w:tcW w:w="3356" w:type="dxa"/>
            <w:vAlign w:val="center"/>
          </w:tcPr>
          <w:p>
            <w:r>
              <w:t>47.20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61.3</w:t>
            </w:r>
          </w:p>
        </w:tc>
        <w:tc>
          <w:tcPr>
            <w:tcW w:w="3356" w:type="dxa"/>
            <w:vAlign w:val="center"/>
          </w:tcPr>
          <w:p>
            <w:r>
              <w:t>52.59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3029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t>48.61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3030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t>48.86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3031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t>48.97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3032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26.8</w:t>
            </w:r>
          </w:p>
        </w:tc>
        <w:tc>
          <w:tcPr>
            <w:tcW w:w="3356" w:type="dxa"/>
            <w:vAlign w:val="center"/>
          </w:tcPr>
          <w:p>
            <w:r>
              <w:t>49.24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3033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24.3</w:t>
            </w:r>
          </w:p>
        </w:tc>
        <w:tc>
          <w:tcPr>
            <w:tcW w:w="3356" w:type="dxa"/>
            <w:vAlign w:val="center"/>
          </w:tcPr>
          <w:p>
            <w:r>
              <w:t>49.69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t>57.32%</w:t>
            </w:r>
          </w:p>
        </w:tc>
      </w:tr>
      <w:bookmarkEnd w:id="56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7" w:name="达标比例统计表"/>
      <w:bookmarkEnd w:id="57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8" w:name="_Toc155539079"/>
      <w:r>
        <w:rPr>
          <w:rFonts w:hint="eastAsia"/>
        </w:rPr>
        <w:t>结论</w:t>
      </w:r>
      <w:bookmarkEnd w:id="58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9" w:name="达标百分比"/>
      <w:r>
        <w:rPr>
          <w:rFonts w:hint="eastAsia"/>
          <w:lang w:val="en-US"/>
        </w:rPr>
        <w:t>57.32%</w:t>
      </w:r>
      <w:bookmarkEnd w:id="59"/>
      <w:r>
        <w:rPr>
          <w:rFonts w:hint="eastAsia"/>
          <w:lang w:val="en-US"/>
        </w:rPr>
        <w:t>，根据绿标5.2.9的第1条，应得</w:t>
      </w:r>
      <w:bookmarkStart w:id="60" w:name="得分"/>
      <w:r>
        <w:rPr>
          <w:rFonts w:hint="eastAsia"/>
          <w:lang w:val="en-US"/>
        </w:rPr>
        <w:t>4</w:t>
      </w:r>
      <w:bookmarkEnd w:id="60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1" w:name="房间逐时温度图"/>
      <w:bookmarkEnd w:id="61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NjBkYjBmZDEyNDU4NWQzMjBkOWRlMTBhOWRlZTIifQ=="/>
  </w:docVars>
  <w:rsids>
    <w:rsidRoot w:val="003351B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1386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51B3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06D2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4E83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496A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autoRedefine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autoRedefine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autoRedefine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autoRedefine/>
    <w:qFormat/>
    <w:uiPriority w:val="20"/>
    <w:rPr>
      <w:color w:val="CC0000"/>
    </w:rPr>
  </w:style>
  <w:style w:type="character" w:styleId="26">
    <w:name w:val="Hyperlink"/>
    <w:autoRedefine/>
    <w:qFormat/>
    <w:uiPriority w:val="99"/>
    <w:rPr>
      <w:color w:val="0000FF"/>
      <w:u w:val="single"/>
    </w:rPr>
  </w:style>
  <w:style w:type="character" w:customStyle="1" w:styleId="27">
    <w:name w:val="标题 1 字符"/>
    <w:link w:val="2"/>
    <w:autoRedefine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autoRedefine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autoRedefine/>
    <w:qFormat/>
    <w:uiPriority w:val="99"/>
    <w:rPr>
      <w:sz w:val="21"/>
      <w:szCs w:val="18"/>
      <w:lang w:val="en-GB"/>
    </w:rPr>
  </w:style>
  <w:style w:type="paragraph" w:customStyle="1" w:styleId="30">
    <w:name w:val="lj正文"/>
    <w:autoRedefine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autoRedefine/>
    <w:qFormat/>
    <w:uiPriority w:val="0"/>
    <w:rPr>
      <w:rFonts w:ascii="宋体"/>
      <w:sz w:val="21"/>
    </w:rPr>
  </w:style>
  <w:style w:type="paragraph" w:styleId="32">
    <w:name w:val="List Paragraph"/>
    <w:basedOn w:val="1"/>
    <w:autoRedefine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autoRedefine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autoRedefine/>
    <w:semiHidden/>
    <w:qFormat/>
    <w:uiPriority w:val="99"/>
    <w:rPr>
      <w:color w:val="808080"/>
    </w:rPr>
  </w:style>
  <w:style w:type="paragraph" w:styleId="36">
    <w:name w:val="No Spacing"/>
    <w:autoRedefine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autoRedefine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autoRedefine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autoRedefine/>
    <w:qFormat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autoRedefine/>
    <w:qFormat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autoRedefine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autoRedefine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Na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Company>ths</Company>
  <Pages>1</Pages>
  <Words>1381</Words>
  <Characters>7878</Characters>
  <Lines>65</Lines>
  <Paragraphs>18</Paragraphs>
  <TotalTime>0</TotalTime>
  <ScaleCrop>false</ScaleCrop>
  <LinksUpToDate>false</LinksUpToDate>
  <CharactersWithSpaces>9241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2024-01-07T08:57:00Z</dcterms:created>
  <dc:creator>ZhangNan</dc:creator>
  <cp:lastModifiedBy>WPS_1603122268</cp:lastModifiedBy>
  <cp:lastPrinted>1900-12-31T16:00:00Z</cp:lastPrinted>
  <dcterms:modified xsi:type="dcterms:W3CDTF">2024-01-08T08:55:31Z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AD4E09A4CAA34927BE48A37B0C0EF940_12</vt:lpwstr>
  </property>
</Properties>
</file>