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312" w:beforeLines="100" w:line="180" w:lineRule="atLeast"/>
        <w:jc w:val="center"/>
        <w:rPr>
          <w:rFonts w:ascii="黑体" w:hAnsi="宋体" w:eastAsia="黑体" w:cs="黑体"/>
          <w:b/>
          <w:bCs/>
          <w:kern w:val="2"/>
          <w:sz w:val="24"/>
          <w:szCs w:val="72"/>
          <w:lang w:val="en-US"/>
        </w:rPr>
      </w:pPr>
      <w:bookmarkStart w:id="0" w:name="标准辐照"/>
      <w:bookmarkEnd w:id="0"/>
      <w:bookmarkStart w:id="87" w:name="_GoBack"/>
      <w:bookmarkEnd w:id="87"/>
    </w:p>
    <w:p>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可再生能源利用分析报告</w:t>
      </w:r>
    </w:p>
    <w:p>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光伏发电</w:t>
      </w:r>
    </w:p>
    <w:p>
      <w:pPr>
        <w:spacing w:line="180" w:lineRule="atLeast"/>
        <w:jc w:val="center"/>
        <w:rPr>
          <w:rFonts w:ascii="宋体" w:hAnsi="宋体"/>
          <w:b/>
          <w:bCs/>
          <w:szCs w:val="21"/>
          <w:lang w:val="en-US"/>
        </w:rPr>
      </w:pPr>
    </w:p>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jc w:val="center"/>
        <w:rPr>
          <w:rFonts w:ascii="黑体" w:hAnsi="黑体" w:eastAsia="黑体"/>
          <w:b/>
          <w:bCs/>
          <w:color w:val="ED7D31" w:themeColor="accent2"/>
          <w:sz w:val="40"/>
          <w:szCs w:val="36"/>
          <w14:textFill>
            <w14:solidFill>
              <w14:schemeClr w14:val="accent2"/>
            </w14:solidFill>
          </w14:textFill>
        </w:rPr>
      </w:pPr>
      <w:bookmarkStart w:id="1" w:name="目录"/>
      <w:r>
        <w:rPr>
          <w:rFonts w:hint="eastAsia" w:ascii="黑体" w:hAnsi="黑体" w:eastAsia="黑体"/>
          <w:b/>
          <w:bCs/>
          <w:color w:val="ED7D31" w:themeColor="accent2"/>
          <w:sz w:val="40"/>
          <w:szCs w:val="36"/>
          <w14:textFill>
            <w14:solidFill>
              <w14:schemeClr w14:val="accent2"/>
            </w14:solidFill>
          </w14:textFill>
        </w:rPr>
        <w:t>目  录</w:t>
      </w:r>
    </w:p>
    <w:p>
      <w:pPr>
        <w:pStyle w:val="25"/>
        <w:rPr>
          <w:rFonts w:asciiTheme="minorHAnsi" w:hAnsiTheme="minorHAnsi" w:eastAsiaTheme="minorEastAsia" w:cstheme="minorBidi"/>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"_Toc134261586" </w:instrText>
      </w:r>
      <w:r>
        <w:fldChar w:fldCharType="separate"/>
      </w:r>
      <w:r>
        <w:rPr>
          <w:rStyle w:val="37"/>
        </w:rPr>
        <w:t>1.</w:t>
      </w:r>
      <w:r>
        <w:rPr>
          <w:rFonts w:asciiTheme="minorHAnsi" w:hAnsiTheme="minorHAnsi" w:eastAsiaTheme="minorEastAsia" w:cstheme="minorBidi"/>
          <w:b w:val="0"/>
          <w:bCs w:val="0"/>
          <w:szCs w:val="22"/>
          <w14:ligatures w14:val="standardContextual"/>
        </w:rPr>
        <w:tab/>
      </w:r>
      <w:r>
        <w:rPr>
          <w:rStyle w:val="37"/>
        </w:rPr>
        <w:t>项目概况</w:t>
      </w:r>
      <w:r>
        <w:tab/>
      </w:r>
      <w:r>
        <w:fldChar w:fldCharType="begin"/>
      </w:r>
      <w:r>
        <w:instrText xml:space="preserve"> PAGEREF _Toc134261586 \h </w:instrText>
      </w:r>
      <w:r>
        <w:fldChar w:fldCharType="separate"/>
      </w:r>
      <w:r>
        <w:t>1</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"_Toc134261587" </w:instrText>
      </w:r>
      <w:r>
        <w:fldChar w:fldCharType="separate"/>
      </w:r>
      <w:r>
        <w:rPr>
          <w:rStyle w:val="37"/>
        </w:rPr>
        <w:t>2.</w:t>
      </w:r>
      <w:r>
        <w:rPr>
          <w:rFonts w:asciiTheme="minorHAnsi" w:hAnsiTheme="minorHAnsi" w:eastAsiaTheme="minorEastAsia" w:cstheme="minorBidi"/>
          <w:b w:val="0"/>
          <w:bCs w:val="0"/>
          <w:szCs w:val="22"/>
          <w14:ligatures w14:val="standardContextual"/>
        </w:rPr>
        <w:tab/>
      </w:r>
      <w:r>
        <w:rPr>
          <w:rStyle w:val="37"/>
        </w:rPr>
        <w:t>标准依据</w:t>
      </w:r>
      <w:r>
        <w:tab/>
      </w:r>
      <w:r>
        <w:fldChar w:fldCharType="begin"/>
      </w:r>
      <w:r>
        <w:instrText xml:space="preserve"> PAGEREF _Toc134261587 \h </w:instrText>
      </w:r>
      <w:r>
        <w:fldChar w:fldCharType="separate"/>
      </w:r>
      <w:r>
        <w:t>1</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"_Toc134261588" </w:instrText>
      </w:r>
      <w:r>
        <w:fldChar w:fldCharType="separate"/>
      </w:r>
      <w:r>
        <w:rPr>
          <w:rStyle w:val="37"/>
        </w:rPr>
        <w:t>3.</w:t>
      </w:r>
      <w:r>
        <w:rPr>
          <w:rFonts w:asciiTheme="minorHAnsi" w:hAnsiTheme="minorHAnsi" w:eastAsiaTheme="minorEastAsia" w:cstheme="minorBidi"/>
          <w:b w:val="0"/>
          <w:bCs w:val="0"/>
          <w:szCs w:val="22"/>
          <w14:ligatures w14:val="standardContextual"/>
        </w:rPr>
        <w:tab/>
      </w:r>
      <w:r>
        <w:rPr>
          <w:rStyle w:val="37"/>
        </w:rPr>
        <w:t>太阳能资源分析</w:t>
      </w:r>
      <w:r>
        <w:tab/>
      </w:r>
      <w:r>
        <w:fldChar w:fldCharType="begin"/>
      </w:r>
      <w:r>
        <w:instrText xml:space="preserve"> PAGEREF _Toc134261588 \h </w:instrText>
      </w:r>
      <w:r>
        <w:fldChar w:fldCharType="separate"/>
      </w:r>
      <w:r>
        <w:t>1</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"_Toc134261589" </w:instrText>
      </w:r>
      <w:r>
        <w:fldChar w:fldCharType="separate"/>
      </w:r>
      <w:r>
        <w:rPr>
          <w:rStyle w:val="37"/>
          <w:lang w:val="en-GB"/>
        </w:rPr>
        <w:t>3.1</w:t>
      </w:r>
      <w:r>
        <w:rPr>
          <w:rFonts w:asciiTheme="minorHAnsi" w:hAnsiTheme="minorHAnsi" w:eastAsiaTheme="minorEastAsia" w:cstheme="minorBidi"/>
          <w:szCs w:val="22"/>
          <w14:ligatures w14:val="standardContextual"/>
        </w:rPr>
        <w:tab/>
      </w:r>
      <w:r>
        <w:rPr>
          <w:rStyle w:val="37"/>
        </w:rPr>
        <w:t>太阳能资源概况</w:t>
      </w:r>
      <w:r>
        <w:tab/>
      </w:r>
      <w:r>
        <w:fldChar w:fldCharType="begin"/>
      </w:r>
      <w:r>
        <w:instrText xml:space="preserve"> PAGEREF _Toc134261589 \h </w:instrText>
      </w:r>
      <w:r>
        <w:fldChar w:fldCharType="separate"/>
      </w:r>
      <w:r>
        <w:t>1</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"_Toc134261590" </w:instrText>
      </w:r>
      <w:r>
        <w:fldChar w:fldCharType="separate"/>
      </w:r>
      <w:r>
        <w:rPr>
          <w:rStyle w:val="37"/>
          <w:lang w:val="en-GB"/>
        </w:rPr>
        <w:t>3.2</w:t>
      </w:r>
      <w:r>
        <w:rPr>
          <w:rFonts w:asciiTheme="minorHAnsi" w:hAnsiTheme="minorHAnsi" w:eastAsiaTheme="minorEastAsia" w:cstheme="minorBidi"/>
          <w:szCs w:val="22"/>
          <w14:ligatures w14:val="standardContextual"/>
        </w:rPr>
        <w:tab/>
      </w:r>
      <w:r>
        <w:rPr>
          <w:rStyle w:val="37"/>
        </w:rPr>
        <w:t>太阳能综合评价</w:t>
      </w:r>
      <w:r>
        <w:tab/>
      </w:r>
      <w:r>
        <w:fldChar w:fldCharType="begin"/>
      </w:r>
      <w:r>
        <w:instrText xml:space="preserve"> PAGEREF _Toc134261590 \h </w:instrText>
      </w:r>
      <w:r>
        <w:fldChar w:fldCharType="separate"/>
      </w:r>
      <w:r>
        <w:t>4</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"_Toc134261591" </w:instrText>
      </w:r>
      <w:r>
        <w:fldChar w:fldCharType="separate"/>
      </w:r>
      <w:r>
        <w:rPr>
          <w:rStyle w:val="37"/>
        </w:rPr>
        <w:t>4.</w:t>
      </w:r>
      <w:r>
        <w:rPr>
          <w:rFonts w:asciiTheme="minorHAnsi" w:hAnsiTheme="minorHAnsi" w:eastAsiaTheme="minorEastAsia" w:cstheme="minorBidi"/>
          <w:b w:val="0"/>
          <w:bCs w:val="0"/>
          <w:szCs w:val="22"/>
          <w14:ligatures w14:val="standardContextual"/>
        </w:rPr>
        <w:tab/>
      </w:r>
      <w:r>
        <w:rPr>
          <w:rStyle w:val="37"/>
        </w:rPr>
        <w:t>软件选用</w:t>
      </w:r>
      <w:r>
        <w:tab/>
      </w:r>
      <w:r>
        <w:fldChar w:fldCharType="begin"/>
      </w:r>
      <w:r>
        <w:instrText xml:space="preserve"> PAGEREF _Toc134261591 \h </w:instrText>
      </w:r>
      <w:r>
        <w:fldChar w:fldCharType="separate"/>
      </w:r>
      <w:r>
        <w:t>6</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"_Toc134261592" </w:instrText>
      </w:r>
      <w:r>
        <w:fldChar w:fldCharType="separate"/>
      </w:r>
      <w:r>
        <w:rPr>
          <w:rStyle w:val="37"/>
        </w:rPr>
        <w:t>5.</w:t>
      </w:r>
      <w:r>
        <w:rPr>
          <w:rFonts w:asciiTheme="minorHAnsi" w:hAnsiTheme="minorHAnsi" w:eastAsiaTheme="minorEastAsia" w:cstheme="minorBidi"/>
          <w:b w:val="0"/>
          <w:bCs w:val="0"/>
          <w:szCs w:val="22"/>
          <w14:ligatures w14:val="standardContextual"/>
        </w:rPr>
        <w:tab/>
      </w:r>
      <w:r>
        <w:rPr>
          <w:rStyle w:val="37"/>
        </w:rPr>
        <w:t>光伏系统设计</w:t>
      </w:r>
      <w:r>
        <w:tab/>
      </w:r>
      <w:r>
        <w:fldChar w:fldCharType="begin"/>
      </w:r>
      <w:r>
        <w:instrText xml:space="preserve"> PAGEREF _Toc134261592 \h </w:instrText>
      </w:r>
      <w:r>
        <w:fldChar w:fldCharType="separate"/>
      </w:r>
      <w:r>
        <w:t>6</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"_Toc134261593" </w:instrText>
      </w:r>
      <w:r>
        <w:fldChar w:fldCharType="separate"/>
      </w:r>
      <w:r>
        <w:rPr>
          <w:rStyle w:val="37"/>
          <w:lang w:val="en-GB"/>
        </w:rPr>
        <w:t>5.1</w:t>
      </w:r>
      <w:r>
        <w:rPr>
          <w:rFonts w:asciiTheme="minorHAnsi" w:hAnsiTheme="minorHAnsi" w:eastAsiaTheme="minorEastAsia" w:cstheme="minorBidi"/>
          <w:szCs w:val="22"/>
          <w14:ligatures w14:val="standardContextual"/>
        </w:rPr>
        <w:tab/>
      </w:r>
      <w:r>
        <w:rPr>
          <w:rStyle w:val="37"/>
        </w:rPr>
        <w:t>阴影遮挡分析</w:t>
      </w:r>
      <w:r>
        <w:tab/>
      </w:r>
      <w:r>
        <w:fldChar w:fldCharType="begin"/>
      </w:r>
      <w:r>
        <w:instrText xml:space="preserve"> PAGEREF _Toc134261593 \h </w:instrText>
      </w:r>
      <w:r>
        <w:fldChar w:fldCharType="separate"/>
      </w:r>
      <w:r>
        <w:t>6</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"_Toc134261594" </w:instrText>
      </w:r>
      <w:r>
        <w:fldChar w:fldCharType="separate"/>
      </w:r>
      <w:r>
        <w:rPr>
          <w:rStyle w:val="37"/>
          <w:lang w:val="en-GB"/>
        </w:rPr>
        <w:t>5.2</w:t>
      </w:r>
      <w:r>
        <w:rPr>
          <w:rFonts w:asciiTheme="minorHAnsi" w:hAnsiTheme="minorHAnsi" w:eastAsiaTheme="minorEastAsia" w:cstheme="minorBidi"/>
          <w:szCs w:val="22"/>
          <w14:ligatures w14:val="standardContextual"/>
        </w:rPr>
        <w:tab/>
      </w:r>
      <w:r>
        <w:rPr>
          <w:rStyle w:val="37"/>
        </w:rPr>
        <w:t>辐照分析</w:t>
      </w:r>
      <w:r>
        <w:tab/>
      </w:r>
      <w:r>
        <w:fldChar w:fldCharType="begin"/>
      </w:r>
      <w:r>
        <w:instrText xml:space="preserve"> PAGEREF _Toc134261594 \h </w:instrText>
      </w:r>
      <w:r>
        <w:fldChar w:fldCharType="separate"/>
      </w:r>
      <w:r>
        <w:t>7</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"_Toc134261595" </w:instrText>
      </w:r>
      <w:r>
        <w:fldChar w:fldCharType="separate"/>
      </w:r>
      <w:r>
        <w:rPr>
          <w:rStyle w:val="37"/>
          <w:lang w:val="en-GB"/>
        </w:rPr>
        <w:t>5.3</w:t>
      </w:r>
      <w:r>
        <w:rPr>
          <w:rFonts w:asciiTheme="minorHAnsi" w:hAnsiTheme="minorHAnsi" w:eastAsiaTheme="minorEastAsia" w:cstheme="minorBidi"/>
          <w:szCs w:val="22"/>
          <w14:ligatures w14:val="standardContextual"/>
        </w:rPr>
        <w:tab/>
      </w:r>
      <w:r>
        <w:rPr>
          <w:rStyle w:val="37"/>
        </w:rPr>
        <w:t>光伏方阵设计</w:t>
      </w:r>
      <w:r>
        <w:tab/>
      </w:r>
      <w:r>
        <w:fldChar w:fldCharType="begin"/>
      </w:r>
      <w:r>
        <w:instrText xml:space="preserve"> PAGEREF _Toc134261595 \h </w:instrText>
      </w:r>
      <w:r>
        <w:fldChar w:fldCharType="separate"/>
      </w:r>
      <w:r>
        <w:t>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"_Toc134261596" </w:instrText>
      </w:r>
      <w:r>
        <w:fldChar w:fldCharType="separate"/>
      </w:r>
      <w:r>
        <w:rPr>
          <w:rStyle w:val="37"/>
          <w:rFonts w:eastAsia="宋体"/>
          <w:lang w:val="en-GB"/>
        </w:rPr>
        <w:t>5.3.1</w:t>
      </w:r>
      <w:r>
        <w:rPr>
          <w:rFonts w:asciiTheme="minorHAnsi" w:hAnsiTheme="minorHAnsi" w:eastAsiaTheme="minorEastAsia" w:cstheme="minorBidi"/>
          <w:szCs w:val="22"/>
          <w14:ligatures w14:val="standardContextual"/>
        </w:rPr>
        <w:tab/>
      </w:r>
      <w:r>
        <w:rPr>
          <w:rStyle w:val="37"/>
        </w:rPr>
        <w:t>安装倾角</w:t>
      </w:r>
      <w:r>
        <w:tab/>
      </w:r>
      <w:r>
        <w:fldChar w:fldCharType="begin"/>
      </w:r>
      <w:r>
        <w:instrText xml:space="preserve"> PAGEREF _Toc134261596 \h </w:instrText>
      </w:r>
      <w:r>
        <w:fldChar w:fldCharType="separate"/>
      </w:r>
      <w:r>
        <w:t>8</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"_Toc134261597" </w:instrText>
      </w:r>
      <w:r>
        <w:fldChar w:fldCharType="separate"/>
      </w:r>
      <w:r>
        <w:rPr>
          <w:rStyle w:val="37"/>
          <w:rFonts w:eastAsia="宋体"/>
          <w:lang w:val="en-GB"/>
        </w:rPr>
        <w:t>5.3.2</w:t>
      </w:r>
      <w:r>
        <w:rPr>
          <w:rFonts w:asciiTheme="minorHAnsi" w:hAnsiTheme="minorHAnsi" w:eastAsiaTheme="minorEastAsia" w:cstheme="minorBidi"/>
          <w:szCs w:val="22"/>
          <w14:ligatures w14:val="standardContextual"/>
        </w:rPr>
        <w:tab/>
      </w:r>
      <w:r>
        <w:rPr>
          <w:rStyle w:val="37"/>
        </w:rPr>
        <w:t>方阵设计</w:t>
      </w:r>
      <w:r>
        <w:tab/>
      </w:r>
      <w:r>
        <w:fldChar w:fldCharType="begin"/>
      </w:r>
      <w:r>
        <w:instrText xml:space="preserve"> PAGEREF _Toc134261597 \h </w:instrText>
      </w:r>
      <w:r>
        <w:fldChar w:fldCharType="separate"/>
      </w:r>
      <w:r>
        <w:t>8</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"_Toc134261598" </w:instrText>
      </w:r>
      <w:r>
        <w:fldChar w:fldCharType="separate"/>
      </w:r>
      <w:r>
        <w:rPr>
          <w:rStyle w:val="37"/>
          <w:lang w:val="en-GB"/>
        </w:rPr>
        <w:t>5.4</w:t>
      </w:r>
      <w:r>
        <w:rPr>
          <w:rFonts w:asciiTheme="minorHAnsi" w:hAnsiTheme="minorHAnsi" w:eastAsiaTheme="minorEastAsia" w:cstheme="minorBidi"/>
          <w:szCs w:val="22"/>
          <w14:ligatures w14:val="standardContextual"/>
        </w:rPr>
        <w:tab/>
      </w:r>
      <w:r>
        <w:rPr>
          <w:rStyle w:val="37"/>
        </w:rPr>
        <w:t>光伏组件和逆变器的选择</w:t>
      </w:r>
      <w:r>
        <w:tab/>
      </w:r>
      <w:r>
        <w:fldChar w:fldCharType="begin"/>
      </w:r>
      <w:r>
        <w:instrText xml:space="preserve"> PAGEREF _Toc134261598 \h </w:instrText>
      </w:r>
      <w:r>
        <w:fldChar w:fldCharType="separate"/>
      </w:r>
      <w:r>
        <w:t>8</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"_Toc134261599" </w:instrText>
      </w:r>
      <w:r>
        <w:fldChar w:fldCharType="separate"/>
      </w:r>
      <w:r>
        <w:rPr>
          <w:rStyle w:val="37"/>
        </w:rPr>
        <w:t>6.</w:t>
      </w:r>
      <w:r>
        <w:rPr>
          <w:rFonts w:asciiTheme="minorHAnsi" w:hAnsiTheme="minorHAnsi" w:eastAsiaTheme="minorEastAsia" w:cstheme="minorBidi"/>
          <w:b w:val="0"/>
          <w:bCs w:val="0"/>
          <w:szCs w:val="22"/>
          <w14:ligatures w14:val="standardContextual"/>
        </w:rPr>
        <w:tab/>
      </w:r>
      <w:r>
        <w:rPr>
          <w:rStyle w:val="37"/>
        </w:rPr>
        <w:t>光伏发电产量</w:t>
      </w:r>
      <w:r>
        <w:tab/>
      </w:r>
      <w:r>
        <w:fldChar w:fldCharType="begin"/>
      </w:r>
      <w:r>
        <w:instrText xml:space="preserve"> PAGEREF _Toc134261599 \h </w:instrText>
      </w:r>
      <w:r>
        <w:fldChar w:fldCharType="separate"/>
      </w:r>
      <w:r>
        <w:t>9</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"_Toc134261600" </w:instrText>
      </w:r>
      <w:r>
        <w:fldChar w:fldCharType="separate"/>
      </w:r>
      <w:r>
        <w:rPr>
          <w:rStyle w:val="37"/>
          <w:lang w:val="en-GB"/>
        </w:rPr>
        <w:t>6.1</w:t>
      </w:r>
      <w:r>
        <w:rPr>
          <w:rFonts w:asciiTheme="minorHAnsi" w:hAnsiTheme="minorHAnsi" w:eastAsiaTheme="minorEastAsia" w:cstheme="minorBidi"/>
          <w:szCs w:val="22"/>
          <w14:ligatures w14:val="standardContextual"/>
        </w:rPr>
        <w:tab/>
      </w:r>
      <w:r>
        <w:rPr>
          <w:rStyle w:val="37"/>
        </w:rPr>
        <w:t>发电量算法</w:t>
      </w:r>
      <w:r>
        <w:tab/>
      </w:r>
      <w:r>
        <w:fldChar w:fldCharType="begin"/>
      </w:r>
      <w:r>
        <w:instrText xml:space="preserve"> PAGEREF _Toc134261600 \h </w:instrText>
      </w:r>
      <w:r>
        <w:fldChar w:fldCharType="separate"/>
      </w:r>
      <w:r>
        <w:t>9</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"_Toc134261601" </w:instrText>
      </w:r>
      <w:r>
        <w:fldChar w:fldCharType="separate"/>
      </w:r>
      <w:r>
        <w:rPr>
          <w:rStyle w:val="37"/>
          <w:lang w:val="en-GB"/>
        </w:rPr>
        <w:t>6.2</w:t>
      </w:r>
      <w:r>
        <w:rPr>
          <w:rFonts w:asciiTheme="minorHAnsi" w:hAnsiTheme="minorHAnsi" w:eastAsiaTheme="minorEastAsia" w:cstheme="minorBidi"/>
          <w:szCs w:val="22"/>
          <w14:ligatures w14:val="standardContextual"/>
        </w:rPr>
        <w:tab/>
      </w:r>
      <w:r>
        <w:rPr>
          <w:rStyle w:val="37"/>
        </w:rPr>
        <w:t>系统效率和损失</w:t>
      </w:r>
      <w:r>
        <w:tab/>
      </w:r>
      <w:r>
        <w:fldChar w:fldCharType="begin"/>
      </w:r>
      <w:r>
        <w:instrText xml:space="preserve"> PAGEREF _Toc134261601 \h </w:instrText>
      </w:r>
      <w:r>
        <w:fldChar w:fldCharType="separate"/>
      </w:r>
      <w:r>
        <w:t>9</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"_Toc134261602" </w:instrText>
      </w:r>
      <w:r>
        <w:fldChar w:fldCharType="separate"/>
      </w:r>
      <w:r>
        <w:rPr>
          <w:rStyle w:val="37"/>
          <w:lang w:val="en-GB"/>
        </w:rPr>
        <w:t>6.3</w:t>
      </w:r>
      <w:r>
        <w:rPr>
          <w:rFonts w:asciiTheme="minorHAnsi" w:hAnsiTheme="minorHAnsi" w:eastAsiaTheme="minorEastAsia" w:cstheme="minorBidi"/>
          <w:szCs w:val="22"/>
          <w14:ligatures w14:val="standardContextual"/>
        </w:rPr>
        <w:tab/>
      </w:r>
      <w:r>
        <w:rPr>
          <w:rStyle w:val="37"/>
        </w:rPr>
        <w:t>发电量计算</w:t>
      </w:r>
      <w:r>
        <w:tab/>
      </w:r>
      <w:r>
        <w:fldChar w:fldCharType="begin"/>
      </w:r>
      <w:r>
        <w:instrText xml:space="preserve"> PAGEREF _Toc134261602 \h </w:instrText>
      </w:r>
      <w:r>
        <w:fldChar w:fldCharType="separate"/>
      </w:r>
      <w:r>
        <w:t>10</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"_Toc134261603" </w:instrText>
      </w:r>
      <w:r>
        <w:fldChar w:fldCharType="separate"/>
      </w:r>
      <w:r>
        <w:rPr>
          <w:rStyle w:val="37"/>
          <w:rFonts w:eastAsia="宋体"/>
          <w:lang w:val="en-GB"/>
        </w:rPr>
        <w:t>6.3.1</w:t>
      </w:r>
      <w:r>
        <w:rPr>
          <w:rFonts w:asciiTheme="minorHAnsi" w:hAnsiTheme="minorHAnsi" w:eastAsiaTheme="minorEastAsia" w:cstheme="minorBidi"/>
          <w:szCs w:val="22"/>
          <w14:ligatures w14:val="standardContextual"/>
        </w:rPr>
        <w:tab/>
      </w:r>
      <w:r>
        <w:rPr>
          <w:rStyle w:val="37"/>
        </w:rPr>
        <w:t>首年发电量</w:t>
      </w:r>
      <w:r>
        <w:tab/>
      </w:r>
      <w:r>
        <w:fldChar w:fldCharType="begin"/>
      </w:r>
      <w:r>
        <w:instrText xml:space="preserve"> PAGEREF _Toc134261603 \h </w:instrText>
      </w:r>
      <w:r>
        <w:fldChar w:fldCharType="separate"/>
      </w:r>
      <w:r>
        <w:t>10</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"_Toc134261604" </w:instrText>
      </w:r>
      <w:r>
        <w:fldChar w:fldCharType="separate"/>
      </w:r>
      <w:r>
        <w:rPr>
          <w:rStyle w:val="37"/>
          <w:rFonts w:eastAsia="宋体"/>
          <w:lang w:val="en-GB"/>
        </w:rPr>
        <w:t>6.3.2</w:t>
      </w:r>
      <w:r>
        <w:rPr>
          <w:rFonts w:asciiTheme="minorHAnsi" w:hAnsiTheme="minorHAnsi" w:eastAsiaTheme="minorEastAsia" w:cstheme="minorBidi"/>
          <w:szCs w:val="22"/>
          <w14:ligatures w14:val="standardContextual"/>
        </w:rPr>
        <w:tab/>
      </w:r>
      <w:r>
        <w:rPr>
          <w:rStyle w:val="37"/>
        </w:rPr>
        <w:t>全周期发电量</w:t>
      </w:r>
      <w:r>
        <w:tab/>
      </w:r>
      <w:r>
        <w:fldChar w:fldCharType="begin"/>
      </w:r>
      <w:r>
        <w:instrText xml:space="preserve"> PAGEREF _Toc134261604 \h </w:instrText>
      </w:r>
      <w:r>
        <w:fldChar w:fldCharType="separate"/>
      </w:r>
      <w:r>
        <w:t>11</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"_Toc134261605" </w:instrText>
      </w:r>
      <w:r>
        <w:fldChar w:fldCharType="separate"/>
      </w:r>
      <w:r>
        <w:rPr>
          <w:rStyle w:val="37"/>
        </w:rPr>
        <w:t>7.</w:t>
      </w:r>
      <w:r>
        <w:rPr>
          <w:rFonts w:asciiTheme="minorHAnsi" w:hAnsiTheme="minorHAnsi" w:eastAsiaTheme="minorEastAsia" w:cstheme="minorBidi"/>
          <w:b w:val="0"/>
          <w:bCs w:val="0"/>
          <w:szCs w:val="22"/>
          <w14:ligatures w14:val="standardContextual"/>
        </w:rPr>
        <w:tab/>
      </w:r>
      <w:r>
        <w:rPr>
          <w:rStyle w:val="37"/>
        </w:rPr>
        <w:t>经济效益分析</w:t>
      </w:r>
      <w:r>
        <w:tab/>
      </w:r>
      <w:r>
        <w:fldChar w:fldCharType="begin"/>
      </w:r>
      <w:r>
        <w:instrText xml:space="preserve"> PAGEREF _Toc134261605 \h </w:instrText>
      </w:r>
      <w:r>
        <w:fldChar w:fldCharType="separate"/>
      </w:r>
      <w:r>
        <w:t>13</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"_Toc134261606" </w:instrText>
      </w:r>
      <w:r>
        <w:fldChar w:fldCharType="separate"/>
      </w:r>
      <w:r>
        <w:rPr>
          <w:rStyle w:val="37"/>
        </w:rPr>
        <w:t>8.</w:t>
      </w:r>
      <w:r>
        <w:rPr>
          <w:rFonts w:asciiTheme="minorHAnsi" w:hAnsiTheme="minorHAnsi" w:eastAsiaTheme="minorEastAsia" w:cstheme="minorBidi"/>
          <w:b w:val="0"/>
          <w:bCs w:val="0"/>
          <w:szCs w:val="22"/>
          <w14:ligatures w14:val="standardContextual"/>
        </w:rPr>
        <w:tab/>
      </w:r>
      <w:r>
        <w:rPr>
          <w:rStyle w:val="37"/>
        </w:rPr>
        <w:t>减排效益分析</w:t>
      </w:r>
      <w:r>
        <w:tab/>
      </w:r>
      <w:r>
        <w:fldChar w:fldCharType="begin"/>
      </w:r>
      <w:r>
        <w:instrText xml:space="preserve"> PAGEREF _Toc134261606 \h </w:instrText>
      </w:r>
      <w:r>
        <w:fldChar w:fldCharType="separate"/>
      </w:r>
      <w:r>
        <w:t>15</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"_Toc134261607" </w:instrText>
      </w:r>
      <w:r>
        <w:fldChar w:fldCharType="separate"/>
      </w:r>
      <w:r>
        <w:rPr>
          <w:rStyle w:val="37"/>
        </w:rPr>
        <w:t>9.</w:t>
      </w:r>
      <w:r>
        <w:rPr>
          <w:rFonts w:asciiTheme="minorHAnsi" w:hAnsiTheme="minorHAnsi" w:eastAsiaTheme="minorEastAsia" w:cstheme="minorBidi"/>
          <w:b w:val="0"/>
          <w:bCs w:val="0"/>
          <w:szCs w:val="22"/>
          <w14:ligatures w14:val="standardContextual"/>
        </w:rPr>
        <w:tab/>
      </w:r>
      <w:r>
        <w:rPr>
          <w:rStyle w:val="37"/>
        </w:rPr>
        <w:t>综述</w:t>
      </w:r>
      <w:r>
        <w:tab/>
      </w:r>
      <w:r>
        <w:fldChar w:fldCharType="begin"/>
      </w:r>
      <w:r>
        <w:instrText xml:space="preserve"> PAGEREF _Toc134261607 \h </w:instrText>
      </w:r>
      <w:r>
        <w:fldChar w:fldCharType="separate"/>
      </w:r>
      <w:r>
        <w:t>16</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"_Toc134261608" </w:instrText>
      </w:r>
      <w:r>
        <w:fldChar w:fldCharType="separate"/>
      </w:r>
      <w:r>
        <w:rPr>
          <w:rStyle w:val="37"/>
        </w:rPr>
        <w:t>附录</w:t>
      </w:r>
      <w:r>
        <w:tab/>
      </w:r>
      <w:r>
        <w:fldChar w:fldCharType="begin"/>
      </w:r>
      <w:r>
        <w:instrText xml:space="preserve"> PAGEREF _Toc134261608 \h </w:instrText>
      </w:r>
      <w:r>
        <w:fldChar w:fldCharType="separate"/>
      </w:r>
      <w:r>
        <w:t>17</w:t>
      </w:r>
      <w:r>
        <w:fldChar w:fldCharType="end"/>
      </w:r>
      <w: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1"/>
    </w:p>
    <w:p>
      <w:pPr>
        <w:pStyle w:val="2"/>
      </w:pPr>
      <w:r>
        <w:tab/>
      </w:r>
      <w:bookmarkStart w:id="2" w:name="_Toc127542292"/>
      <w:bookmarkStart w:id="3" w:name="_Toc134261586"/>
      <w:r>
        <w:rPr>
          <w:rFonts w:hint="eastAsia"/>
        </w:rPr>
        <w:t>项目概况</w:t>
      </w:r>
      <w:bookmarkEnd w:id="2"/>
      <w:bookmarkEnd w:id="3"/>
      <w:r>
        <w:t xml:space="preserve"> </w:t>
      </w:r>
    </w:p>
    <w:tbl>
      <w:tblPr>
        <w:tblStyle w:val="72"/>
        <w:tblW w:w="9180" w:type="dxa"/>
        <w:tblInd w:w="0" w:type="dxa"/>
        <w:tblLayout w:type="fixed"/>
        <w:tblCellMar>
          <w:top w:w="0" w:type="dxa"/>
          <w:left w:w="108" w:type="dxa"/>
          <w:bottom w:w="0" w:type="dxa"/>
          <w:right w:w="108" w:type="dxa"/>
        </w:tblCellMar>
      </w:tblPr>
      <w:tblGrid>
        <w:gridCol w:w="1418"/>
        <w:gridCol w:w="7762"/>
      </w:tblGrid>
      <w:tr>
        <w:tblPrEx>
          <w:tblCellMar>
            <w:top w:w="0" w:type="dxa"/>
            <w:left w:w="108" w:type="dxa"/>
            <w:bottom w:w="0" w:type="dxa"/>
            <w:right w:w="108" w:type="dxa"/>
          </w:tblCellMar>
        </w:tblPrEx>
        <w:trPr>
          <w:trHeight w:val="399" w:hRule="atLeast"/>
        </w:trPr>
        <w:tc>
          <w:tcPr>
            <w:tcW w:w="1418" w:type="dxa"/>
            <w:shd w:val="clear" w:color="auto" w:fill="F57C00"/>
          </w:tcPr>
          <w:p>
            <w:pPr>
              <w:pStyle w:val="3"/>
              <w:rPr>
                <w:b/>
                <w:bCs/>
                <w:color w:val="FFFFFF" w:themeColor="background1"/>
                <w:sz w:val="21"/>
                <w:szCs w:val="18"/>
                <w:lang w:val="en-US"/>
                <w14:textFill>
                  <w14:solidFill>
                    <w14:schemeClr w14:val="bg1"/>
                  </w14:solidFill>
                </w14:textFill>
              </w:rPr>
            </w:pPr>
            <w:r>
              <w:rPr>
                <w:rFonts w:hint="eastAsia"/>
                <w:b/>
                <w:bCs/>
                <w:color w:val="FFFFFF" w:themeColor="background1"/>
                <w:sz w:val="21"/>
                <w:szCs w:val="18"/>
                <w:lang w:val="en-US"/>
                <w14:textFill>
                  <w14:solidFill>
                    <w14:schemeClr w14:val="bg1"/>
                  </w14:solidFill>
                </w14:textFill>
              </w:rPr>
              <w:t>工程名称</w:t>
            </w:r>
          </w:p>
        </w:tc>
        <w:tc>
          <w:tcPr>
            <w:tcW w:w="7762" w:type="dxa"/>
            <w:shd w:val="clear" w:color="auto" w:fill="ECECEC" w:themeFill="accent3" w:themeFillTint="33"/>
          </w:tcPr>
          <w:p>
            <w:pPr>
              <w:pStyle w:val="3"/>
              <w:rPr>
                <w:b/>
                <w:bCs/>
                <w:sz w:val="21"/>
                <w:szCs w:val="18"/>
                <w:lang w:val="en-US"/>
              </w:rPr>
            </w:pPr>
            <w:bookmarkStart w:id="4" w:name="项目名称1"/>
            <w:bookmarkEnd w:id="4"/>
          </w:p>
        </w:tc>
      </w:tr>
      <w:tr>
        <w:tblPrEx>
          <w:tblCellMar>
            <w:top w:w="0" w:type="dxa"/>
            <w:left w:w="108" w:type="dxa"/>
            <w:bottom w:w="0" w:type="dxa"/>
            <w:right w:w="108" w:type="dxa"/>
          </w:tblCellMar>
        </w:tblPrEx>
        <w:trPr>
          <w:trHeight w:val="417" w:hRule="atLeast"/>
        </w:trPr>
        <w:tc>
          <w:tcPr>
            <w:tcW w:w="1418" w:type="dxa"/>
            <w:shd w:val="clear" w:color="auto" w:fill="F57C00"/>
          </w:tcPr>
          <w:p>
            <w:pPr>
              <w:pStyle w:val="3"/>
              <w:rPr>
                <w:b/>
                <w:color w:val="FFFFFF" w:themeColor="background1"/>
                <w:sz w:val="21"/>
                <w:szCs w:val="18"/>
                <w:lang w:val="en-US"/>
                <w14:textFill>
                  <w14:solidFill>
                    <w14:schemeClr w14:val="bg1"/>
                  </w14:solidFill>
                </w14:textFill>
              </w:rPr>
            </w:pPr>
            <w:r>
              <w:rPr>
                <w:rFonts w:hint="eastAsia"/>
                <w:b/>
                <w:color w:val="FFFFFF" w:themeColor="background1"/>
                <w:sz w:val="21"/>
                <w:szCs w:val="18"/>
                <w:lang w:val="en-US"/>
                <w14:textFill>
                  <w14:solidFill>
                    <w14:schemeClr w14:val="bg1"/>
                  </w14:solidFill>
                </w14:textFill>
              </w:rPr>
              <w:t>工程地点</w:t>
            </w:r>
          </w:p>
        </w:tc>
        <w:tc>
          <w:tcPr>
            <w:tcW w:w="7762" w:type="dxa"/>
          </w:tcPr>
          <w:p>
            <w:pPr>
              <w:pStyle w:val="3"/>
              <w:rPr>
                <w:sz w:val="21"/>
                <w:szCs w:val="18"/>
                <w:lang w:val="en-US"/>
              </w:rPr>
            </w:pPr>
            <w:bookmarkStart w:id="5" w:name="工程地点"/>
            <w:r>
              <w:rPr>
                <w:rFonts w:hint="eastAsia"/>
                <w:sz w:val="21"/>
                <w:szCs w:val="18"/>
                <w:lang w:val="zh-CN"/>
              </w:rPr>
              <w:t>西安</w:t>
            </w:r>
            <w:bookmarkEnd w:id="5"/>
          </w:p>
        </w:tc>
      </w:tr>
      <w:tr>
        <w:tblPrEx>
          <w:tblCellMar>
            <w:top w:w="0" w:type="dxa"/>
            <w:left w:w="108" w:type="dxa"/>
            <w:bottom w:w="0" w:type="dxa"/>
            <w:right w:w="108" w:type="dxa"/>
          </w:tblCellMar>
        </w:tblPrEx>
        <w:trPr>
          <w:trHeight w:val="399" w:hRule="atLeast"/>
        </w:trPr>
        <w:tc>
          <w:tcPr>
            <w:tcW w:w="1418" w:type="dxa"/>
            <w:shd w:val="clear" w:color="auto" w:fill="F57C00"/>
          </w:tcPr>
          <w:p>
            <w:pPr>
              <w:pStyle w:val="3"/>
              <w:rPr>
                <w:b/>
                <w:color w:val="FFFFFF" w:themeColor="background1"/>
                <w:sz w:val="21"/>
                <w:szCs w:val="18"/>
                <w:lang w:val="en-US"/>
                <w14:textFill>
                  <w14:solidFill>
                    <w14:schemeClr w14:val="bg1"/>
                  </w14:solidFill>
                </w14:textFill>
              </w:rPr>
            </w:pPr>
            <w:r>
              <w:rPr>
                <w:rFonts w:hint="eastAsia"/>
                <w:b/>
                <w:color w:val="FFFFFF" w:themeColor="background1"/>
                <w:sz w:val="21"/>
                <w:szCs w:val="18"/>
                <w:lang w:val="en-US"/>
                <w14:textFill>
                  <w14:solidFill>
                    <w14:schemeClr w14:val="bg1"/>
                  </w14:solidFill>
                </w14:textFill>
              </w:rPr>
              <w:t>地理位置</w:t>
            </w:r>
          </w:p>
        </w:tc>
        <w:tc>
          <w:tcPr>
            <w:tcW w:w="7762" w:type="dxa"/>
            <w:shd w:val="clear" w:color="auto" w:fill="ECECEC" w:themeFill="accent3" w:themeFillTint="33"/>
          </w:tcPr>
          <w:p>
            <w:pPr>
              <w:pStyle w:val="3"/>
              <w:rPr>
                <w:sz w:val="21"/>
                <w:szCs w:val="18"/>
                <w:lang w:val="en-US"/>
              </w:rPr>
            </w:pPr>
            <w:r>
              <w:rPr>
                <w:rFonts w:hint="eastAsia"/>
                <w:sz w:val="21"/>
                <w:szCs w:val="18"/>
                <w:lang w:val="en-US"/>
              </w:rPr>
              <w:t>东经：</w:t>
            </w:r>
            <w:bookmarkStart w:id="6" w:name="经度"/>
            <w:r>
              <w:t>108°57′</w:t>
            </w:r>
            <w:bookmarkEnd w:id="6"/>
            <w:r>
              <w:rPr>
                <w:sz w:val="21"/>
                <w:szCs w:val="18"/>
                <w:lang w:val="en-US"/>
              </w:rPr>
              <w:t xml:space="preserve">              北纬：</w:t>
            </w:r>
            <w:bookmarkStart w:id="7" w:name="纬度"/>
            <w:r>
              <w:t>34°17′</w:t>
            </w:r>
            <w:bookmarkEnd w:id="7"/>
          </w:p>
        </w:tc>
      </w:tr>
    </w:tbl>
    <w:p>
      <w:pPr>
        <w:pStyle w:val="2"/>
      </w:pPr>
      <w:bookmarkStart w:id="8" w:name="_Toc512608177"/>
      <w:bookmarkStart w:id="9" w:name="_Toc134261587"/>
      <w:r>
        <w:rPr>
          <w:rFonts w:hint="eastAsia"/>
        </w:rPr>
        <w:t>标准依据</w:t>
      </w:r>
      <w:bookmarkEnd w:id="8"/>
      <w:bookmarkEnd w:id="9"/>
    </w:p>
    <w:p>
      <w:pPr>
        <w:pStyle w:val="3"/>
        <w:numPr>
          <w:ilvl w:val="0"/>
          <w:numId w:val="4"/>
        </w:numPr>
        <w:rPr>
          <w:lang w:val="en-US"/>
        </w:rPr>
      </w:pPr>
      <w:bookmarkStart w:id="10" w:name="_Toc512608179"/>
      <w:r>
        <w:rPr>
          <w:rFonts w:hint="eastAsia"/>
          <w:lang w:val="en-US"/>
        </w:rPr>
        <w:t>《建筑节能与可再生能源利用通用规范》GB 55015—2021</w:t>
      </w:r>
    </w:p>
    <w:p>
      <w:pPr>
        <w:pStyle w:val="3"/>
        <w:numPr>
          <w:ilvl w:val="0"/>
          <w:numId w:val="4"/>
        </w:numPr>
        <w:rPr>
          <w:lang w:val="en-US"/>
        </w:rPr>
      </w:pPr>
      <w:r>
        <w:rPr>
          <w:rFonts w:hint="eastAsia"/>
          <w:lang w:val="en-US"/>
        </w:rPr>
        <w:t>《光伏发电站设计规范》GB 50797—2012</w:t>
      </w:r>
    </w:p>
    <w:p>
      <w:pPr>
        <w:pStyle w:val="3"/>
        <w:numPr>
          <w:ilvl w:val="0"/>
          <w:numId w:val="4"/>
        </w:numPr>
        <w:rPr>
          <w:lang w:val="en-US"/>
        </w:rPr>
      </w:pPr>
      <w:r>
        <w:rPr>
          <w:rFonts w:hint="eastAsia"/>
          <w:lang w:val="en-US"/>
        </w:rPr>
        <w:t>《可再生能源建筑应用工程评价标准》GBT 50801—2013</w:t>
      </w:r>
    </w:p>
    <w:p>
      <w:pPr>
        <w:pStyle w:val="3"/>
        <w:numPr>
          <w:ilvl w:val="0"/>
          <w:numId w:val="4"/>
        </w:numPr>
        <w:rPr>
          <w:lang w:val="en-US"/>
        </w:rPr>
      </w:pPr>
      <w:r>
        <w:rPr>
          <w:rFonts w:hint="eastAsia"/>
          <w:lang w:val="en-US"/>
        </w:rPr>
        <w:t>《建筑太阳能光伏系统设计规范》</w:t>
      </w:r>
      <w:r>
        <w:rPr>
          <w:lang w:val="en-US"/>
        </w:rPr>
        <w:t>DB11/T 881</w:t>
      </w:r>
      <w:r>
        <w:rPr>
          <w:rFonts w:hint="eastAsia"/>
          <w:lang w:val="en-US"/>
        </w:rPr>
        <w:t>—20</w:t>
      </w:r>
      <w:r>
        <w:rPr>
          <w:lang w:val="en-US"/>
        </w:rPr>
        <w:t>12</w:t>
      </w:r>
    </w:p>
    <w:p>
      <w:pPr>
        <w:pStyle w:val="3"/>
        <w:numPr>
          <w:ilvl w:val="0"/>
          <w:numId w:val="4"/>
        </w:numPr>
        <w:rPr>
          <w:lang w:val="en-US"/>
        </w:rPr>
      </w:pPr>
      <w:r>
        <w:rPr>
          <w:lang w:val="en-US"/>
        </w:rPr>
        <w:t>《绿色建筑评价标准》GB/T 50378—2019</w:t>
      </w:r>
    </w:p>
    <w:p>
      <w:pPr>
        <w:pStyle w:val="3"/>
        <w:numPr>
          <w:ilvl w:val="0"/>
          <w:numId w:val="4"/>
        </w:numPr>
        <w:rPr>
          <w:lang w:val="en-US"/>
        </w:rPr>
      </w:pPr>
      <w:r>
        <w:rPr>
          <w:rFonts w:hint="eastAsia"/>
          <w:lang w:val="en-US"/>
        </w:rPr>
        <w:t>《绿色建筑评价技术细则》2</w:t>
      </w:r>
      <w:r>
        <w:rPr>
          <w:lang w:val="en-US"/>
        </w:rPr>
        <w:t>01</w:t>
      </w:r>
      <w:r>
        <w:rPr>
          <w:rFonts w:hint="eastAsia"/>
          <w:lang w:val="en-US"/>
        </w:rPr>
        <w:t>9</w:t>
      </w:r>
    </w:p>
    <w:bookmarkEnd w:id="10"/>
    <w:p>
      <w:pPr>
        <w:pStyle w:val="2"/>
      </w:pPr>
      <w:bookmarkStart w:id="11" w:name="_Toc134261588"/>
      <w:r>
        <w:rPr>
          <w:rFonts w:hint="eastAsia"/>
        </w:rPr>
        <w:t>太阳能资源分析</w:t>
      </w:r>
      <w:bookmarkEnd w:id="11"/>
    </w:p>
    <w:p>
      <w:pPr>
        <w:pStyle w:val="4"/>
        <w:rPr>
          <w:lang w:val="zh-CN"/>
        </w:rPr>
      </w:pPr>
      <w:bookmarkStart w:id="12" w:name="_Toc134261589"/>
      <w:r>
        <w:rPr>
          <w:rFonts w:hint="eastAsia"/>
        </w:rPr>
        <w:t>太阳能资源概况</w:t>
      </w:r>
      <w:bookmarkEnd w:id="12"/>
    </w:p>
    <w:p>
      <w:pPr>
        <w:pStyle w:val="3"/>
        <w:ind w:firstLine="480"/>
        <w:rPr>
          <w:lang w:val="zh-CN"/>
        </w:rPr>
      </w:pPr>
      <w:r>
        <w:rPr>
          <w:lang w:val="zh-CN"/>
        </w:rPr>
        <w:t>太阳能</w:t>
      </w:r>
      <w:r>
        <w:rPr>
          <w:rFonts w:hint="eastAsia"/>
          <w:lang w:val="zh-CN"/>
        </w:rPr>
        <w:t>是</w:t>
      </w:r>
      <w:r>
        <w:rPr>
          <w:lang w:val="zh-CN"/>
        </w:rPr>
        <w:t>一种重要的可再生能源，</w:t>
      </w:r>
      <w:r>
        <w:rPr>
          <w:rFonts w:hint="eastAsia"/>
          <w:lang w:val="zh-CN"/>
        </w:rPr>
        <w:t>我国属世界上太阳能资源丰富的国家之一，全国总面积</w:t>
      </w:r>
      <w:r>
        <w:rPr>
          <w:lang w:val="zh-CN"/>
        </w:rPr>
        <w:t>2/3以上地区年日照小时</w:t>
      </w:r>
      <w:r>
        <w:rPr>
          <w:rFonts w:hint="eastAsia"/>
          <w:lang w:val="zh-CN"/>
        </w:rPr>
        <w:t>数大于</w:t>
      </w:r>
      <w:r>
        <w:rPr>
          <w:lang w:val="zh-CN"/>
        </w:rPr>
        <w:t>2000小时。</w:t>
      </w:r>
      <w:r>
        <w:rPr>
          <w:rFonts w:hint="eastAsia"/>
          <w:lang w:val="zh-CN"/>
        </w:rPr>
        <w:t>为了按照各地不同条件更好地利用太阳能，根据太阳年总辐射量的大小划分为四个太阳能资源带。</w:t>
      </w:r>
    </w:p>
    <w:p>
      <w:pPr>
        <w:pStyle w:val="3"/>
        <w:spacing w:line="276" w:lineRule="auto"/>
        <w:ind w:firstLine="480"/>
        <w:jc w:val="center"/>
        <w:rPr>
          <w:lang w:val="zh-CN"/>
        </w:rPr>
      </w:pPr>
      <w:r>
        <w:rPr>
          <w:lang w:val="en-US"/>
        </w:rPr>
        <w:drawing>
          <wp:inline distT="0" distB="0" distL="0" distR="0">
            <wp:extent cx="4143375" cy="2975610"/>
            <wp:effectExtent l="0" t="0" r="0" b="0"/>
            <wp:docPr id="4" name="图片 4" descr="C:\Users\Administrator\Desktop\6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660-410.jpg"/>
                    <pic:cNvPicPr>
                      <a:picLocks noChangeAspect="1" noChangeArrowheads="1"/>
                    </pic:cNvPicPr>
                  </pic:nvPicPr>
                  <pic:blipFill>
                    <a:blip r:embed="rId11">
                      <a:extLst>
                        <a:ext uri="{28A0092B-C50C-407E-A947-70E740481C1C}">
                          <a14:useLocalDpi xmlns:a14="http://schemas.microsoft.com/office/drawing/2010/main" val="0"/>
                        </a:ext>
                      </a:extLst>
                    </a:blip>
                    <a:srcRect l="6905" r="6334"/>
                    <a:stretch>
                      <a:fillRect/>
                    </a:stretch>
                  </pic:blipFill>
                  <pic:spPr>
                    <a:xfrm>
                      <a:off x="0" y="0"/>
                      <a:ext cx="4203885" cy="3019140"/>
                    </a:xfrm>
                    <a:prstGeom prst="rect">
                      <a:avLst/>
                    </a:prstGeom>
                    <a:noFill/>
                    <a:ln>
                      <a:noFill/>
                    </a:ln>
                  </pic:spPr>
                </pic:pic>
              </a:graphicData>
            </a:graphic>
          </wp:inline>
        </w:drawing>
      </w:r>
    </w:p>
    <w:p>
      <w:pPr>
        <w:pStyle w:val="15"/>
        <w:rPr>
          <w:rFonts w:ascii="黑体" w:hAnsi="黑体" w:cs="宋体"/>
          <w:bCs/>
          <w:color w:val="000000"/>
          <w:szCs w:val="18"/>
          <w:lang w:val="en-US"/>
        </w:rPr>
      </w:pPr>
      <w:r>
        <w:t xml:space="preserve">图 </w:t>
      </w:r>
      <w:r>
        <w:fldChar w:fldCharType="begin"/>
      </w:r>
      <w:r>
        <w:instrText xml:space="preserve"> SEQ 图 \* ARABIC </w:instrText>
      </w:r>
      <w:r>
        <w:fldChar w:fldCharType="separate"/>
      </w:r>
      <w:r>
        <w:t>1</w:t>
      </w:r>
      <w:r>
        <w:fldChar w:fldCharType="end"/>
      </w:r>
      <w:r>
        <w:t xml:space="preserve"> </w:t>
      </w:r>
      <w:r>
        <w:rPr>
          <w:rFonts w:hint="eastAsia" w:ascii="黑体" w:hAnsi="黑体" w:cs="宋体"/>
          <w:bCs/>
          <w:color w:val="000000"/>
          <w:szCs w:val="18"/>
          <w:lang w:val="en-US"/>
        </w:rPr>
        <w:t>太阳能总辐射量分布图</w:t>
      </w:r>
    </w:p>
    <w:p>
      <w:pPr>
        <w:ind w:firstLine="480" w:firstLineChars="200"/>
        <w:rPr>
          <w:lang w:val="en-US"/>
        </w:rPr>
      </w:pPr>
      <w:r>
        <w:rPr>
          <w:rFonts w:hint="eastAsia"/>
          <w:sz w:val="24"/>
          <w:szCs w:val="21"/>
          <w:lang w:val="zh-CN"/>
        </w:rPr>
        <w:t>光伏发电量与当地太阳能资源关系紧密，光伏系统在太阳能资源丰富的区域可以获得更高的发电量。本项目所在地的太阳能资源情况，如下所示：</w:t>
      </w:r>
    </w:p>
    <w:p>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t xml:space="preserve"> </w:t>
      </w:r>
      <w:r>
        <w:rPr>
          <w:rFonts w:hint="eastAsia" w:ascii="黑体" w:hAnsi="黑体" w:cs="宋体"/>
          <w:bCs/>
          <w:color w:val="000000"/>
          <w:szCs w:val="18"/>
          <w:lang w:val="en-US"/>
        </w:rPr>
        <w:t>当地太阳能资源</w:t>
      </w:r>
    </w:p>
    <w:tbl>
      <w:tblPr>
        <w:tblStyle w:val="72"/>
        <w:tblW w:w="9058" w:type="dxa"/>
        <w:tblInd w:w="0" w:type="dxa"/>
        <w:tblLayout w:type="autofit"/>
        <w:tblCellMar>
          <w:top w:w="0" w:type="dxa"/>
          <w:left w:w="108" w:type="dxa"/>
          <w:bottom w:w="0" w:type="dxa"/>
          <w:right w:w="108" w:type="dxa"/>
        </w:tblCellMar>
      </w:tblPr>
      <w:tblGrid>
        <w:gridCol w:w="1413"/>
        <w:gridCol w:w="1843"/>
        <w:gridCol w:w="2409"/>
        <w:gridCol w:w="1843"/>
        <w:gridCol w:w="1550"/>
      </w:tblGrid>
      <w:tr>
        <w:tblPrEx>
          <w:tblCellMar>
            <w:top w:w="0" w:type="dxa"/>
            <w:left w:w="108" w:type="dxa"/>
            <w:bottom w:w="0" w:type="dxa"/>
            <w:right w:w="108" w:type="dxa"/>
          </w:tblCellMar>
        </w:tblPrEx>
        <w:trPr>
          <w:trHeight w:val="785" w:hRule="atLeast"/>
        </w:trPr>
        <w:tc>
          <w:tcPr>
            <w:tcW w:w="141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地点</w:t>
            </w:r>
          </w:p>
        </w:tc>
        <w:tc>
          <w:tcPr>
            <w:tcW w:w="184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水平面年总辐照量</w:t>
            </w:r>
            <w:r>
              <w:rPr>
                <w:rFonts w:eastAsia="等线"/>
                <w:b w:val="0"/>
                <w:bCs/>
                <w:color w:val="FFFFFF" w:themeColor="background1"/>
                <w:szCs w:val="21"/>
                <w14:textFill>
                  <w14:solidFill>
                    <w14:schemeClr w14:val="bg1"/>
                  </w14:solidFill>
                </w14:textFill>
              </w:rPr>
              <w:t>MJ/(m</w:t>
            </w:r>
            <w:r>
              <w:rPr>
                <w:rFonts w:eastAsia="等线"/>
                <w:b w:val="0"/>
                <w:bCs/>
                <w:color w:val="FFFFFF" w:themeColor="background1"/>
                <w:szCs w:val="21"/>
                <w:vertAlign w:val="superscript"/>
                <w14:textFill>
                  <w14:solidFill>
                    <w14:schemeClr w14:val="bg1"/>
                  </w14:solidFill>
                </w14:textFill>
              </w:rPr>
              <w:t>2</w:t>
            </w:r>
            <w:r>
              <w:rPr>
                <w:rFonts w:hint="eastAsia"/>
                <w:b w:val="0"/>
                <w:bCs/>
                <w:color w:val="FFFFFF" w:themeColor="background1"/>
                <w:szCs w:val="21"/>
                <w14:textFill>
                  <w14:solidFill>
                    <w14:schemeClr w14:val="bg1"/>
                  </w14:solidFill>
                </w14:textFill>
              </w:rPr>
              <w:t>•</w:t>
            </w:r>
            <w:r>
              <w:rPr>
                <w:rFonts w:eastAsia="等线"/>
                <w:b w:val="0"/>
                <w:bCs/>
                <w:color w:val="FFFFFF" w:themeColor="background1"/>
                <w:szCs w:val="21"/>
                <w14:textFill>
                  <w14:solidFill>
                    <w14:schemeClr w14:val="bg1"/>
                  </w14:solidFill>
                </w14:textFill>
              </w:rPr>
              <w:t>a)</w:t>
            </w:r>
          </w:p>
        </w:tc>
        <w:tc>
          <w:tcPr>
            <w:tcW w:w="2409"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水平面年平均日辐照量</w:t>
            </w:r>
            <w:r>
              <w:rPr>
                <w:rFonts w:eastAsia="等线"/>
                <w:b w:val="0"/>
                <w:bCs/>
                <w:color w:val="FFFFFF" w:themeColor="background1"/>
                <w:szCs w:val="21"/>
                <w14:textFill>
                  <w14:solidFill>
                    <w14:schemeClr w14:val="bg1"/>
                  </w14:solidFill>
                </w14:textFill>
              </w:rPr>
              <w:t>KJ/(m</w:t>
            </w:r>
            <w:r>
              <w:rPr>
                <w:rFonts w:eastAsia="等线"/>
                <w:b w:val="0"/>
                <w:bCs/>
                <w:color w:val="FFFFFF" w:themeColor="background1"/>
                <w:szCs w:val="21"/>
                <w:vertAlign w:val="superscript"/>
                <w14:textFill>
                  <w14:solidFill>
                    <w14:schemeClr w14:val="bg1"/>
                  </w14:solidFill>
                </w14:textFill>
              </w:rPr>
              <w:t>2</w:t>
            </w:r>
            <w:r>
              <w:rPr>
                <w:rFonts w:hint="eastAsia" w:ascii="宋体" w:hAnsi="宋体"/>
                <w:b w:val="0"/>
                <w:bCs/>
                <w:color w:val="FFFFFF" w:themeColor="background1"/>
                <w:szCs w:val="21"/>
                <w14:textFill>
                  <w14:solidFill>
                    <w14:schemeClr w14:val="bg1"/>
                  </w14:solidFill>
                </w14:textFill>
              </w:rPr>
              <w:t>•</w:t>
            </w:r>
            <w:r>
              <w:rPr>
                <w:rFonts w:hint="eastAsia" w:eastAsia="等线"/>
                <w:b w:val="0"/>
                <w:bCs/>
                <w:color w:val="FFFFFF" w:themeColor="background1"/>
                <w:szCs w:val="21"/>
                <w14:textFill>
                  <w14:solidFill>
                    <w14:schemeClr w14:val="bg1"/>
                  </w14:solidFill>
                </w14:textFill>
              </w:rPr>
              <w:t>day</w:t>
            </w:r>
            <w:r>
              <w:rPr>
                <w:rFonts w:eastAsia="等线"/>
                <w:b w:val="0"/>
                <w:bCs/>
                <w:color w:val="FFFFFF" w:themeColor="background1"/>
                <w:szCs w:val="21"/>
                <w14:textFill>
                  <w14:solidFill>
                    <w14:schemeClr w14:val="bg1"/>
                  </w14:solidFill>
                </w14:textFill>
              </w:rPr>
              <w:t>)</w:t>
            </w:r>
          </w:p>
        </w:tc>
        <w:tc>
          <w:tcPr>
            <w:tcW w:w="184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日照时数</w:t>
            </w:r>
          </w:p>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h</w:t>
            </w:r>
          </w:p>
        </w:tc>
        <w:tc>
          <w:tcPr>
            <w:tcW w:w="1550" w:type="dxa"/>
            <w:tcBorders>
              <w:bottom w:val="nil"/>
            </w:tcBorders>
            <w:shd w:val="clear" w:color="auto" w:fill="ED7D31" w:themeFill="accent2"/>
            <w:vAlign w:val="center"/>
          </w:tcPr>
          <w:p>
            <w:pPr>
              <w:jc w:val="center"/>
              <w:rPr>
                <w:b/>
                <w:bCs w:val="0"/>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峰值日照时数</w:t>
            </w:r>
          </w:p>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h</w:t>
            </w:r>
          </w:p>
        </w:tc>
      </w:tr>
      <w:tr>
        <w:tblPrEx>
          <w:tblCellMar>
            <w:top w:w="0" w:type="dxa"/>
            <w:left w:w="108" w:type="dxa"/>
            <w:bottom w:w="0" w:type="dxa"/>
            <w:right w:w="108" w:type="dxa"/>
          </w:tblCellMar>
        </w:tblPrEx>
        <w:trPr>
          <w:trHeight w:val="470" w:hRule="atLeast"/>
        </w:trPr>
        <w:tc>
          <w:tcPr>
            <w:tcW w:w="1413" w:type="dxa"/>
            <w:shd w:val="clear" w:color="auto" w:fill="ECECEC" w:themeFill="accent3" w:themeFillTint="33"/>
            <w:vAlign w:val="center"/>
          </w:tcPr>
          <w:p>
            <w:pPr>
              <w:pStyle w:val="3"/>
              <w:jc w:val="center"/>
              <w:rPr>
                <w:b/>
                <w:bCs/>
                <w:sz w:val="21"/>
                <w:lang w:val="en-US"/>
              </w:rPr>
            </w:pPr>
            <w:bookmarkStart w:id="13" w:name="工程地点3"/>
            <w:r>
              <w:rPr>
                <w:rFonts w:hint="eastAsia"/>
                <w:b/>
                <w:bCs/>
                <w:sz w:val="21"/>
                <w:lang w:val="en-US"/>
              </w:rPr>
              <w:t>西安</w:t>
            </w:r>
            <w:bookmarkEnd w:id="13"/>
          </w:p>
        </w:tc>
        <w:tc>
          <w:tcPr>
            <w:tcW w:w="1843" w:type="dxa"/>
            <w:shd w:val="clear" w:color="auto" w:fill="ECECEC" w:themeFill="accent3" w:themeFillTint="33"/>
            <w:vAlign w:val="center"/>
          </w:tcPr>
          <w:p>
            <w:pPr>
              <w:pStyle w:val="3"/>
              <w:jc w:val="center"/>
              <w:rPr>
                <w:sz w:val="21"/>
                <w:lang w:val="en-US"/>
              </w:rPr>
            </w:pPr>
            <w:bookmarkStart w:id="14" w:name="水平面年总辐照量"/>
            <w:r>
              <w:rPr>
                <w:rFonts w:hint="eastAsia"/>
                <w:sz w:val="21"/>
                <w:lang w:val="en-US"/>
              </w:rPr>
              <w:t>3812.7</w:t>
            </w:r>
            <w:bookmarkEnd w:id="14"/>
          </w:p>
        </w:tc>
        <w:tc>
          <w:tcPr>
            <w:tcW w:w="2409" w:type="dxa"/>
            <w:shd w:val="clear" w:color="auto" w:fill="ECECEC" w:themeFill="accent3" w:themeFillTint="33"/>
            <w:vAlign w:val="center"/>
          </w:tcPr>
          <w:p>
            <w:pPr>
              <w:pStyle w:val="3"/>
              <w:jc w:val="center"/>
              <w:rPr>
                <w:sz w:val="21"/>
                <w:lang w:val="en-US"/>
              </w:rPr>
            </w:pPr>
            <w:bookmarkStart w:id="15" w:name="水平面日辐照量"/>
            <w:r>
              <w:rPr>
                <w:rFonts w:hint="eastAsia"/>
                <w:sz w:val="21"/>
                <w:lang w:val="en-US"/>
              </w:rPr>
              <w:t>10445.9</w:t>
            </w:r>
            <w:bookmarkEnd w:id="15"/>
          </w:p>
        </w:tc>
        <w:tc>
          <w:tcPr>
            <w:tcW w:w="1843" w:type="dxa"/>
            <w:shd w:val="clear" w:color="auto" w:fill="ECECEC" w:themeFill="accent3" w:themeFillTint="33"/>
            <w:vAlign w:val="center"/>
          </w:tcPr>
          <w:p>
            <w:pPr>
              <w:pStyle w:val="3"/>
              <w:jc w:val="center"/>
              <w:rPr>
                <w:sz w:val="21"/>
                <w:lang w:val="en-US"/>
              </w:rPr>
            </w:pPr>
            <w:bookmarkStart w:id="16" w:name="总日照时数"/>
            <w:r>
              <w:rPr>
                <w:color w:val="000000"/>
                <w:sz w:val="21"/>
              </w:rPr>
              <w:t>2875</w:t>
            </w:r>
            <w:bookmarkEnd w:id="16"/>
          </w:p>
        </w:tc>
        <w:tc>
          <w:tcPr>
            <w:tcW w:w="1550" w:type="dxa"/>
            <w:shd w:val="clear" w:color="auto" w:fill="ECECEC" w:themeFill="accent3" w:themeFillTint="33"/>
            <w:vAlign w:val="center"/>
          </w:tcPr>
          <w:p>
            <w:pPr>
              <w:pStyle w:val="3"/>
              <w:jc w:val="center"/>
              <w:rPr>
                <w:sz w:val="21"/>
                <w:lang w:val="en-US"/>
              </w:rPr>
            </w:pPr>
            <w:bookmarkStart w:id="17" w:name="峰值日照时数"/>
            <w:r>
              <w:rPr>
                <w:rFonts w:hint="eastAsia"/>
                <w:sz w:val="21"/>
                <w:lang w:val="en-US"/>
              </w:rPr>
              <w:t>3</w:t>
            </w:r>
            <w:r>
              <w:rPr>
                <w:sz w:val="21"/>
                <w:lang w:val="en-US"/>
              </w:rPr>
              <w:t>.83</w:t>
            </w:r>
            <w:bookmarkEnd w:id="17"/>
          </w:p>
        </w:tc>
      </w:tr>
    </w:tbl>
    <w:p>
      <w:pPr>
        <w:rPr>
          <w:rFonts w:ascii="黑体" w:hAnsi="黑体" w:eastAsia="黑体" w:cs="宋体"/>
          <w:bCs/>
          <w:color w:val="000000"/>
          <w:szCs w:val="18"/>
          <w:lang w:val="en-US"/>
        </w:rPr>
      </w:pPr>
      <w:r>
        <w:rPr>
          <w:rFonts w:hint="eastAsia" w:ascii="黑体" w:hAnsi="黑体" w:eastAsia="黑体" w:cs="宋体"/>
          <w:bCs/>
          <w:color w:val="000000"/>
          <w:szCs w:val="18"/>
          <w:lang w:val="en-US"/>
        </w:rPr>
        <w:t>数据来源：</w:t>
      </w:r>
      <w:bookmarkStart w:id="18" w:name="气象数据来源"/>
      <w:r>
        <w:t>中国气象局</w:t>
      </w:r>
      <w:bookmarkEnd w:id="18"/>
    </w:p>
    <w:p>
      <w:pPr>
        <w:spacing w:before="240"/>
        <w:jc w:val="center"/>
        <w:rPr>
          <w:lang w:val="en-US"/>
        </w:rPr>
      </w:pPr>
      <w:bookmarkStart w:id="19" w:name="水平面总辐照量图"/>
      <w:bookmarkEnd w:id="19"/>
      <w:bookmarkStart w:id="20" w:name="逐月法向直射辐照量图"/>
      <w:bookmarkEnd w:id="20"/>
      <w:r>
        <w:rPr>
          <w:lang w:val="en-US"/>
        </w:rPr>
        <w:drawing>
          <wp:inline distT="0" distB="0" distL="0" distR="0">
            <wp:extent cx="5667375" cy="37147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12"/>
                    <a:stretch>
                      <a:fillRect/>
                    </a:stretch>
                  </pic:blipFill>
                  <pic:spPr>
                    <a:xfrm>
                      <a:off x="0" y="0"/>
                      <a:ext cx="5667375" cy="3714750"/>
                    </a:xfrm>
                    <a:prstGeom prst="rect">
                      <a:avLst/>
                    </a:prstGeom>
                  </pic:spPr>
                </pic:pic>
              </a:graphicData>
            </a:graphic>
          </wp:inline>
        </w:drawing>
      </w:r>
    </w:p>
    <w:p>
      <w:pPr>
        <w:pStyle w:val="15"/>
        <w:rPr>
          <w:rFonts w:ascii="黑体" w:hAnsi="黑体" w:cs="宋体"/>
          <w:bCs/>
          <w:color w:val="000000"/>
          <w:szCs w:val="18"/>
          <w:highlight w:val="yellow"/>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r>
        <w:rPr>
          <w:rFonts w:hint="eastAsia"/>
        </w:rPr>
        <w:t>水平面总辐照量</w:t>
      </w:r>
    </w:p>
    <w:p>
      <w:pPr>
        <w:spacing w:before="240"/>
        <w:jc w:val="center"/>
        <w:rPr>
          <w:rFonts w:ascii="黑体" w:hAnsi="黑体" w:eastAsia="黑体" w:cs="宋体"/>
          <w:bCs/>
          <w:color w:val="000000"/>
          <w:szCs w:val="18"/>
          <w:lang w:val="en-US"/>
        </w:rPr>
      </w:pPr>
      <w:bookmarkStart w:id="21" w:name="逐月日照时数图"/>
      <w:bookmarkEnd w:id="21"/>
      <w:r>
        <w:rPr>
          <w:lang w:val="en-US"/>
        </w:rPr>
        <w:drawing>
          <wp:inline distT="0" distB="0" distL="0" distR="0">
            <wp:extent cx="5667375" cy="3724275"/>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13"/>
                    <a:stretch>
                      <a:fillRect/>
                    </a:stretch>
                  </pic:blipFill>
                  <pic:spPr>
                    <a:xfrm>
                      <a:off x="0" y="0"/>
                      <a:ext cx="5667375" cy="3724275"/>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w:t>
      </w:r>
      <w:r>
        <w:fldChar w:fldCharType="end"/>
      </w:r>
      <w:r>
        <w:rPr>
          <w:rFonts w:hint="eastAsia"/>
        </w:rPr>
        <w:t>逐月日照时数</w:t>
      </w:r>
    </w:p>
    <w:p>
      <w:pPr>
        <w:spacing w:before="240"/>
        <w:jc w:val="center"/>
      </w:pPr>
      <w:bookmarkStart w:id="22" w:name="逐月平均温度图"/>
      <w:bookmarkEnd w:id="22"/>
      <w:r>
        <w:rPr>
          <w:lang w:val="en-US"/>
        </w:rPr>
        <w:drawing>
          <wp:inline distT="0" distB="0" distL="0" distR="0">
            <wp:extent cx="5667375" cy="372427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14"/>
                    <a:stretch>
                      <a:fillRect/>
                    </a:stretch>
                  </pic:blipFill>
                  <pic:spPr>
                    <a:xfrm>
                      <a:off x="0" y="0"/>
                      <a:ext cx="5667375" cy="3724275"/>
                    </a:xfrm>
                    <a:prstGeom prst="rect">
                      <a:avLst/>
                    </a:prstGeom>
                  </pic:spPr>
                </pic:pic>
              </a:graphicData>
            </a:graphic>
          </wp:inline>
        </w:drawing>
      </w:r>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w:t>
      </w:r>
      <w:r>
        <w:fldChar w:fldCharType="end"/>
      </w:r>
      <w:r>
        <w:rPr>
          <w:rFonts w:hint="eastAsia"/>
        </w:rPr>
        <w:t>逐月平均温度</w:t>
      </w:r>
    </w:p>
    <w:p>
      <w:pPr>
        <w:pStyle w:val="4"/>
        <w:rPr>
          <w:szCs w:val="21"/>
        </w:rPr>
      </w:pPr>
      <w:bookmarkStart w:id="23" w:name="_Toc134261590"/>
      <w:bookmarkStart w:id="24" w:name="_Toc99707948"/>
      <w:r>
        <w:t>太阳能综合评价</w:t>
      </w:r>
      <w:bookmarkEnd w:id="23"/>
      <w:bookmarkEnd w:id="24"/>
    </w:p>
    <w:p>
      <w:pPr>
        <w:pStyle w:val="49"/>
        <w:numPr>
          <w:ilvl w:val="0"/>
          <w:numId w:val="5"/>
        </w:numPr>
        <w:ind w:firstLineChars="0"/>
        <w:rPr>
          <w:b/>
          <w:sz w:val="24"/>
          <w:szCs w:val="21"/>
        </w:rPr>
      </w:pPr>
      <w:r>
        <w:rPr>
          <w:rFonts w:hint="eastAsia"/>
          <w:b/>
          <w:sz w:val="24"/>
          <w:szCs w:val="21"/>
        </w:rPr>
        <w:t>辐照量等级分析</w:t>
      </w:r>
    </w:p>
    <w:p>
      <w:pPr>
        <w:ind w:firstLine="480" w:firstLineChars="200"/>
        <w:rPr>
          <w:lang w:val="en-US"/>
        </w:rPr>
      </w:pPr>
      <w:r>
        <w:rPr>
          <w:rFonts w:hint="eastAsia"/>
          <w:sz w:val="24"/>
          <w:szCs w:val="21"/>
        </w:rPr>
        <w:t>根据《太阳能资源评估方法》（</w:t>
      </w:r>
      <w:r>
        <w:rPr>
          <w:sz w:val="24"/>
          <w:szCs w:val="21"/>
        </w:rPr>
        <w:t>GB/T37526—2019）的分类方法，太阳总辐射年辐照量</w:t>
      </w:r>
      <w:r>
        <w:rPr>
          <w:rFonts w:hint="eastAsia"/>
          <w:sz w:val="24"/>
          <w:szCs w:val="21"/>
        </w:rPr>
        <w:t>（G</w:t>
      </w:r>
      <w:r>
        <w:rPr>
          <w:sz w:val="24"/>
          <w:szCs w:val="21"/>
        </w:rPr>
        <w:t>HR</w:t>
      </w:r>
      <w:r>
        <w:rPr>
          <w:rFonts w:hint="eastAsia"/>
          <w:sz w:val="24"/>
          <w:szCs w:val="21"/>
        </w:rPr>
        <w:t>）</w:t>
      </w:r>
      <w:r>
        <w:rPr>
          <w:sz w:val="24"/>
          <w:szCs w:val="21"/>
        </w:rPr>
        <w:t>划分为四个等级：最丰富（A）、很丰富（B）、丰富（C）、一般（D）。</w:t>
      </w:r>
    </w:p>
    <w:p>
      <w:pPr>
        <w:pStyle w:val="15"/>
        <w:spacing w:before="240"/>
        <w:rPr>
          <w:rFonts w:ascii="黑体" w:hAnsi="黑体" w:cs="宋体"/>
          <w:bCs/>
          <w:color w:val="000000"/>
          <w:lang w:val="en-US"/>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r>
        <w:rPr>
          <w:rFonts w:hint="eastAsia"/>
        </w:rPr>
        <w:t>全国太阳辐射总量等级和区域分布表</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3"/>
        <w:gridCol w:w="2605"/>
        <w:gridCol w:w="3348"/>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rFonts w:hint="eastAsia"/>
                <w:b/>
                <w:color w:val="FFFFFF" w:themeColor="background1"/>
                <w:szCs w:val="21"/>
                <w14:textFill>
                  <w14:solidFill>
                    <w14:schemeClr w14:val="bg1"/>
                  </w14:solidFill>
                </w14:textFill>
              </w:rPr>
              <w:t>等级</w:t>
            </w:r>
            <w:r>
              <w:rPr>
                <w:b/>
                <w:color w:val="FFFFFF" w:themeColor="background1"/>
                <w:szCs w:val="21"/>
                <w14:textFill>
                  <w14:solidFill>
                    <w14:schemeClr w14:val="bg1"/>
                  </w14:solidFill>
                </w14:textFill>
              </w:rPr>
              <w:t>名称</w:t>
            </w:r>
          </w:p>
        </w:tc>
        <w:tc>
          <w:tcPr>
            <w:tcW w:w="2605"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b/>
                <w:color w:val="FFFFFF" w:themeColor="background1"/>
                <w:szCs w:val="21"/>
                <w14:textFill>
                  <w14:solidFill>
                    <w14:schemeClr w14:val="bg1"/>
                  </w14:solidFill>
                </w14:textFill>
              </w:rPr>
              <w:t>年总量(MJ/m</w:t>
            </w:r>
            <w:r>
              <w:rPr>
                <w:b/>
                <w:color w:val="FFFFFF" w:themeColor="background1"/>
                <w:szCs w:val="21"/>
                <w:vertAlign w:val="superscript"/>
                <w14:textFill>
                  <w14:solidFill>
                    <w14:schemeClr w14:val="bg1"/>
                  </w14:solidFill>
                </w14:textFill>
              </w:rPr>
              <w:t>2</w:t>
            </w:r>
            <w:r>
              <w:rPr>
                <w:b/>
                <w:color w:val="FFFFFF" w:themeColor="background1"/>
                <w:szCs w:val="21"/>
                <w14:textFill>
                  <w14:solidFill>
                    <w14:schemeClr w14:val="bg1"/>
                  </w14:solidFill>
                </w14:textFill>
              </w:rPr>
              <w:t>)</w:t>
            </w:r>
          </w:p>
        </w:tc>
        <w:tc>
          <w:tcPr>
            <w:tcW w:w="3348"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b/>
                <w:color w:val="FFFFFF" w:themeColor="background1"/>
                <w:szCs w:val="21"/>
                <w14:textFill>
                  <w14:solidFill>
                    <w14:schemeClr w14:val="bg1"/>
                  </w14:solidFill>
                </w14:textFill>
              </w:rPr>
              <w:t>年总量(kWh/m</w:t>
            </w:r>
            <w:r>
              <w:rPr>
                <w:b/>
                <w:color w:val="FFFFFF" w:themeColor="background1"/>
                <w:szCs w:val="21"/>
                <w:vertAlign w:val="superscript"/>
                <w14:textFill>
                  <w14:solidFill>
                    <w14:schemeClr w14:val="bg1"/>
                  </w14:solidFill>
                </w14:textFill>
              </w:rPr>
              <w:t>2</w:t>
            </w:r>
            <w:r>
              <w:rPr>
                <w:b/>
                <w:color w:val="FFFFFF" w:themeColor="background1"/>
                <w:szCs w:val="21"/>
                <w14:textFill>
                  <w14:solidFill>
                    <w14:schemeClr w14:val="bg1"/>
                  </w14:solidFill>
                </w14:textFill>
              </w:rPr>
              <w:t>)</w:t>
            </w:r>
          </w:p>
        </w:tc>
        <w:tc>
          <w:tcPr>
            <w:tcW w:w="1204"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rFonts w:hint="eastAsia"/>
                <w:b/>
                <w:color w:val="FFFFFF" w:themeColor="background1"/>
                <w:szCs w:val="21"/>
                <w14:textFill>
                  <w14:solidFill>
                    <w14:schemeClr w14:val="bg1"/>
                  </w14:solidFill>
                </w14:textFill>
              </w:rPr>
              <w:t>等级符号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bottom w:val="single" w:color="ED7D31" w:themeColor="accent2" w:sz="4" w:space="0"/>
            </w:tcBorders>
            <w:shd w:val="clear" w:color="auto" w:fill="FFFFFF" w:themeFill="background1"/>
            <w:vAlign w:val="center"/>
          </w:tcPr>
          <w:p>
            <w:pPr>
              <w:spacing w:line="360" w:lineRule="exact"/>
              <w:jc w:val="center"/>
            </w:pPr>
            <w:r>
              <w:t>最丰富</w:t>
            </w:r>
          </w:p>
        </w:tc>
        <w:tc>
          <w:tcPr>
            <w:tcW w:w="2605" w:type="dxa"/>
            <w:tcBorders>
              <w:bottom w:val="single" w:color="ED7D31" w:themeColor="accent2" w:sz="4" w:space="0"/>
            </w:tcBorders>
            <w:shd w:val="clear" w:color="auto" w:fill="FFFFFF" w:themeFill="background1"/>
            <w:vAlign w:val="center"/>
          </w:tcPr>
          <w:p>
            <w:pPr>
              <w:spacing w:line="360" w:lineRule="exact"/>
              <w:jc w:val="center"/>
            </w:pPr>
            <w:r>
              <w:t>GHR≥6 300</w:t>
            </w:r>
          </w:p>
        </w:tc>
        <w:tc>
          <w:tcPr>
            <w:tcW w:w="3348" w:type="dxa"/>
            <w:tcBorders>
              <w:bottom w:val="single" w:color="ED7D31" w:themeColor="accent2" w:sz="4" w:space="0"/>
            </w:tcBorders>
            <w:shd w:val="clear" w:color="auto" w:fill="FFFFFF" w:themeFill="background1"/>
            <w:vAlign w:val="center"/>
          </w:tcPr>
          <w:p>
            <w:pPr>
              <w:spacing w:line="360" w:lineRule="exact"/>
              <w:jc w:val="center"/>
            </w:pPr>
            <w:r>
              <w:t>GHR≥1750</w:t>
            </w:r>
          </w:p>
        </w:tc>
        <w:tc>
          <w:tcPr>
            <w:tcW w:w="1204" w:type="dxa"/>
            <w:tcBorders>
              <w:bottom w:val="single" w:color="ED7D31" w:themeColor="accent2" w:sz="4" w:space="0"/>
            </w:tcBorders>
            <w:shd w:val="clear" w:color="auto" w:fill="FFFFFF" w:themeFill="background1"/>
            <w:vAlign w:val="center"/>
          </w:tcPr>
          <w:p>
            <w:pPr>
              <w:spacing w:line="360" w:lineRule="exact"/>
              <w:jc w:val="center"/>
            </w:pPr>
            <w:r>
              <w:rPr>
                <w:rFonts w:hint="eastAsia"/>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很丰富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5 040</w:t>
            </w:r>
            <w:r>
              <w:rPr>
                <w:rFonts w:hint="eastAsia"/>
              </w:rPr>
              <w:t>≤</w:t>
            </w:r>
            <w:r>
              <w:t>GHR</w:t>
            </w:r>
            <w:r>
              <w:rPr>
                <w:rFonts w:hint="eastAsia"/>
              </w:rPr>
              <w:t>＜</w:t>
            </w:r>
            <w:r>
              <w:t>6 300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1 400</w:t>
            </w:r>
            <w:r>
              <w:rPr>
                <w:rFonts w:hint="eastAsia"/>
              </w:rPr>
              <w:t>≤</w:t>
            </w:r>
            <w:r>
              <w:t>GHR</w:t>
            </w:r>
            <w:r>
              <w:rPr>
                <w:rFonts w:hint="eastAsia"/>
              </w:rPr>
              <w:t>＜1</w:t>
            </w:r>
            <w:r>
              <w:t xml:space="preserve"> 750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3 780</w:t>
            </w:r>
            <w:r>
              <w:rPr>
                <w:rFonts w:hint="eastAsia"/>
              </w:rPr>
              <w:t>≤</w:t>
            </w:r>
            <w:r>
              <w:t>GHR</w:t>
            </w:r>
            <w:r>
              <w:rPr>
                <w:rFonts w:hint="eastAsia"/>
              </w:rPr>
              <w:t>＜5</w:t>
            </w:r>
            <w:r>
              <w:t xml:space="preserve"> 040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1 050</w:t>
            </w:r>
            <w:r>
              <w:rPr>
                <w:rFonts w:hint="eastAsia"/>
              </w:rPr>
              <w:t>≤</w:t>
            </w:r>
            <w:r>
              <w:t>GHR</w:t>
            </w:r>
            <w:r>
              <w:rPr>
                <w:rFonts w:hint="eastAsia"/>
              </w:rPr>
              <w:t>＜1</w:t>
            </w:r>
            <w:r>
              <w:t xml:space="preserve"> 400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一般</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GHR&lt;3780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GHR&lt;1050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D</w:t>
            </w:r>
          </w:p>
        </w:tc>
      </w:tr>
    </w:tbl>
    <w:p>
      <w:pPr>
        <w:pStyle w:val="80"/>
        <w:spacing w:before="240"/>
        <w:ind w:firstLine="480" w:firstLineChars="200"/>
        <w:rPr>
          <w:rFonts w:asciiTheme="minorEastAsia" w:hAnsiTheme="minorEastAsia" w:eastAsiaTheme="minorEastAsia"/>
        </w:rPr>
      </w:pPr>
      <w:r>
        <w:rPr>
          <w:rFonts w:ascii="微软雅黑" w:hAnsi="微软雅黑" w:cs="微软雅黑"/>
          <w:sz w:val="24"/>
          <w:szCs w:val="21"/>
          <w:lang w:val="en-GB"/>
        </w:rPr>
        <w:t>本项目区域</w:t>
      </w:r>
      <w:r>
        <w:rPr>
          <w:rFonts w:hint="eastAsia" w:ascii="微软雅黑" w:hAnsi="微软雅黑" w:cs="微软雅黑"/>
          <w:sz w:val="24"/>
          <w:szCs w:val="21"/>
          <w:lang w:val="en-GB"/>
        </w:rPr>
        <w:t>水平面年总辐照量为</w:t>
      </w:r>
      <w:bookmarkStart w:id="25" w:name="水平面年总辐照量2"/>
      <w:r>
        <w:rPr>
          <w:rFonts w:hint="eastAsia" w:ascii="微软雅黑" w:hAnsi="微软雅黑" w:cs="微软雅黑"/>
          <w:sz w:val="24"/>
          <w:szCs w:val="21"/>
          <w:lang w:val="en-GB"/>
        </w:rPr>
        <w:t>3812.7</w:t>
      </w:r>
      <w:bookmarkEnd w:id="25"/>
      <w:r>
        <w:rPr>
          <w:rFonts w:hint="eastAsia" w:ascii="微软雅黑" w:hAnsi="微软雅黑" w:cs="微软雅黑"/>
          <w:sz w:val="24"/>
          <w:szCs w:val="21"/>
          <w:lang w:val="en-GB"/>
        </w:rPr>
        <w:t>MJ</w:t>
      </w:r>
      <w:r>
        <w:rPr>
          <w:rFonts w:ascii="微软雅黑" w:hAnsi="微软雅黑" w:cs="微软雅黑"/>
          <w:sz w:val="24"/>
          <w:szCs w:val="21"/>
          <w:lang w:val="en-GB"/>
        </w:rPr>
        <w:t>/m</w:t>
      </w:r>
      <w:r>
        <w:rPr>
          <w:rFonts w:ascii="微软雅黑" w:hAnsi="微软雅黑" w:cs="微软雅黑"/>
          <w:sz w:val="24"/>
          <w:szCs w:val="21"/>
          <w:vertAlign w:val="superscript"/>
          <w:lang w:val="en-GB"/>
        </w:rPr>
        <w:t>2</w:t>
      </w:r>
      <w:r>
        <w:rPr>
          <w:rFonts w:hint="eastAsia" w:ascii="微软雅黑" w:hAnsi="微软雅黑" w:cs="微软雅黑"/>
          <w:sz w:val="24"/>
          <w:szCs w:val="21"/>
          <w:lang w:val="en-GB"/>
        </w:rPr>
        <w:t>，</w:t>
      </w:r>
      <w:r>
        <w:rPr>
          <w:rFonts w:ascii="微软雅黑" w:hAnsi="微软雅黑" w:cs="微软雅黑"/>
          <w:sz w:val="24"/>
          <w:szCs w:val="21"/>
          <w:lang w:val="en-GB"/>
        </w:rPr>
        <w:t>属于</w:t>
      </w:r>
      <w:bookmarkStart w:id="26" w:name="资源等级"/>
      <w:r>
        <w:rPr>
          <w:rFonts w:hint="eastAsia" w:ascii="微软雅黑" w:hAnsi="微软雅黑" w:cs="微软雅黑"/>
          <w:sz w:val="24"/>
          <w:szCs w:val="21"/>
          <w:lang w:val="en-GB"/>
        </w:rPr>
        <w:t>C级太阳能资源丰富</w:t>
      </w:r>
      <w:bookmarkEnd w:id="26"/>
      <w:r>
        <w:rPr>
          <w:rFonts w:ascii="微软雅黑" w:hAnsi="微软雅黑" w:cs="微软雅黑"/>
          <w:sz w:val="24"/>
          <w:szCs w:val="21"/>
          <w:lang w:val="en-GB"/>
        </w:rPr>
        <w:t>区域。</w:t>
      </w:r>
    </w:p>
    <w:p>
      <w:pPr>
        <w:pStyle w:val="49"/>
        <w:numPr>
          <w:ilvl w:val="0"/>
          <w:numId w:val="5"/>
        </w:numPr>
        <w:ind w:firstLineChars="0"/>
        <w:rPr>
          <w:sz w:val="24"/>
          <w:szCs w:val="21"/>
        </w:rPr>
      </w:pPr>
      <w:r>
        <w:rPr>
          <w:rFonts w:hint="eastAsia"/>
          <w:b/>
          <w:sz w:val="24"/>
          <w:szCs w:val="21"/>
        </w:rPr>
        <w:t>直射比等级分析</w:t>
      </w:r>
    </w:p>
    <w:p>
      <w:pPr>
        <w:ind w:firstLine="480" w:firstLineChars="200"/>
        <w:rPr>
          <w:rFonts w:asciiTheme="minorEastAsia" w:hAnsiTheme="minorEastAsia" w:eastAsiaTheme="minorEastAsia"/>
        </w:rPr>
      </w:pPr>
      <w:r>
        <w:rPr>
          <w:rFonts w:hint="eastAsia"/>
          <w:sz w:val="24"/>
          <w:szCs w:val="21"/>
        </w:rPr>
        <w:t>直射比是水平面直接辐照量在水平面总辐照量中所占的比例。</w:t>
      </w:r>
      <w:r>
        <w:rPr>
          <w:sz w:val="24"/>
          <w:szCs w:val="21"/>
        </w:rPr>
        <w:t>根据《太阳能资源等级总辐射》（GB/T31155—2014）的分类方法，直射比划分为四个等级：很高（A）、高（B）、中（C）、低（D）</w:t>
      </w:r>
      <w:r>
        <w:rPr>
          <w:rFonts w:hint="eastAsia"/>
          <w:sz w:val="24"/>
          <w:szCs w:val="21"/>
        </w:rPr>
        <w:t>。</w:t>
      </w:r>
    </w:p>
    <w:p>
      <w:pPr>
        <w:pStyle w:val="15"/>
        <w:spacing w:before="240"/>
        <w:rPr>
          <w:rFonts w:asciiTheme="minorEastAsia" w:hAnsiTheme="minorEastAsia" w:eastAsiaTheme="minorEastAsia"/>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r>
        <w:t>直射比等级</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6"/>
        <w:gridCol w:w="1882"/>
        <w:gridCol w:w="2285"/>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rFonts w:hint="eastAsia"/>
                <w:b/>
                <w:color w:val="FFFFFF" w:themeColor="background1"/>
                <w14:textFill>
                  <w14:solidFill>
                    <w14:schemeClr w14:val="bg1"/>
                  </w14:solidFill>
                </w14:textFill>
              </w:rPr>
              <w:t>等级名称</w:t>
            </w:r>
          </w:p>
        </w:tc>
        <w:tc>
          <w:tcPr>
            <w:tcW w:w="1882"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分级阈值</w:t>
            </w:r>
          </w:p>
        </w:tc>
        <w:tc>
          <w:tcPr>
            <w:tcW w:w="2285"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等级符号</w:t>
            </w:r>
          </w:p>
        </w:tc>
        <w:tc>
          <w:tcPr>
            <w:tcW w:w="2267"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很高</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R</w:t>
            </w:r>
            <w:r>
              <w:rPr>
                <w:vertAlign w:val="subscript"/>
              </w:rPr>
              <w:t>D</w:t>
            </w:r>
            <w:r>
              <w:t>≥0.6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A</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直接辐射主导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高</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0.5≤R</w:t>
            </w:r>
            <w:r>
              <w:rPr>
                <w:vertAlign w:val="subscript"/>
              </w:rPr>
              <w:t>D</w:t>
            </w:r>
            <w:r>
              <w:t>＜0.6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B</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直接辐射较多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中</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0.35≤R</w:t>
            </w:r>
            <w:r>
              <w:rPr>
                <w:vertAlign w:val="subscript"/>
              </w:rPr>
              <w:t>D</w:t>
            </w:r>
            <w:r>
              <w:t>＜0.5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C</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散射辐射较多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低</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R</w:t>
            </w:r>
            <w:r>
              <w:rPr>
                <w:vertAlign w:val="subscript"/>
              </w:rPr>
              <w:t>D</w:t>
            </w:r>
            <w:r>
              <w:t>＜0.35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D</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散射辐射主导</w:t>
            </w:r>
          </w:p>
        </w:tc>
      </w:tr>
    </w:tbl>
    <w:p>
      <w:pPr>
        <w:ind w:firstLine="420" w:firstLineChars="200"/>
        <w:rPr>
          <w:lang w:val="en-US"/>
        </w:rPr>
      </w:pPr>
    </w:p>
    <w:p>
      <w:pPr>
        <w:ind w:firstLine="420" w:firstLineChars="200"/>
        <w:jc w:val="center"/>
        <w:rPr>
          <w:lang w:val="en-US"/>
        </w:rPr>
      </w:pPr>
      <w:bookmarkStart w:id="27" w:name="直射比图"/>
      <w:bookmarkEnd w:id="27"/>
      <w:bookmarkStart w:id="28" w:name="水平面总辐照量图2"/>
      <w:bookmarkEnd w:id="28"/>
      <w:r>
        <w:rPr>
          <w:lang w:val="en-US"/>
        </w:rPr>
        <w:drawing>
          <wp:inline distT="0" distB="0" distL="0" distR="0">
            <wp:extent cx="5667375" cy="37147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2"/>
                    <a:stretch>
                      <a:fillRect/>
                    </a:stretch>
                  </pic:blipFill>
                  <pic:spPr>
                    <a:xfrm>
                      <a:off x="0" y="0"/>
                      <a:ext cx="5667375" cy="3714750"/>
                    </a:xfrm>
                    <a:prstGeom prst="rect">
                      <a:avLst/>
                    </a:prstGeom>
                  </pic:spPr>
                </pic:pic>
              </a:graphicData>
            </a:graphic>
          </wp:inline>
        </w:drawing>
      </w:r>
    </w:p>
    <w:p>
      <w:pPr>
        <w:pStyle w:val="15"/>
        <w:rPr>
          <w:rFonts w:asciiTheme="minorEastAsia" w:hAnsiTheme="minorEastAsia" w:eastAsiaTheme="minorEastAsia"/>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5</w:t>
      </w:r>
      <w:r>
        <w:fldChar w:fldCharType="end"/>
      </w:r>
      <w:r>
        <w:t>各月水平面总辐射</w:t>
      </w:r>
      <w:r>
        <w:rPr>
          <w:rFonts w:hint="eastAsia"/>
        </w:rPr>
        <w:t>和直接辐射</w:t>
      </w:r>
      <w:r>
        <w:t>数据图</w:t>
      </w:r>
    </w:p>
    <w:p>
      <w:pPr>
        <w:pStyle w:val="3"/>
        <w:spacing w:before="240" w:line="276" w:lineRule="auto"/>
        <w:ind w:firstLine="480" w:firstLineChars="200"/>
      </w:pPr>
      <w:r>
        <w:rPr>
          <w:rFonts w:hint="eastAsia"/>
        </w:rPr>
        <w:t>本项目全年总辐照量数据直射比为</w:t>
      </w:r>
      <w:bookmarkStart w:id="29" w:name="直射比DHRR"/>
      <w:r>
        <w:t>0.45,散射辐射较多,直射比等级属于C级等级中地区</w:t>
      </w:r>
      <w:bookmarkEnd w:id="29"/>
      <w:r>
        <w:t>。</w:t>
      </w:r>
    </w:p>
    <w:p>
      <w:pPr>
        <w:pStyle w:val="3"/>
        <w:numPr>
          <w:ilvl w:val="0"/>
          <w:numId w:val="6"/>
        </w:numPr>
        <w:spacing w:line="276" w:lineRule="auto"/>
        <w:rPr>
          <w:b/>
        </w:rPr>
      </w:pPr>
      <w:r>
        <w:rPr>
          <w:rFonts w:hint="eastAsia"/>
          <w:b/>
        </w:rPr>
        <w:t>太阳能资源稳定度分析</w:t>
      </w:r>
    </w:p>
    <w:p>
      <w:pPr>
        <w:pStyle w:val="3"/>
        <w:ind w:firstLine="480" w:firstLineChars="200"/>
      </w:pPr>
      <w:r>
        <w:rPr>
          <w:rFonts w:hint="eastAsia"/>
        </w:rPr>
        <w:t>太阳能资源稳定度是太阳能资源年内变化的状态和幅度的体现，用全年中各月平均日水平面总辐照量的最小值与最大值之比表示。</w:t>
      </w:r>
    </w:p>
    <w:p>
      <w:pPr>
        <w:pStyle w:val="3"/>
        <w:ind w:firstLine="480" w:firstLineChars="200"/>
      </w:pPr>
      <w:r>
        <w:rPr>
          <w:rFonts w:hint="eastAsia"/>
        </w:rPr>
        <w:t>根据《太阳能资源等级总辐射》（</w:t>
      </w:r>
      <w:r>
        <w:t>GB/T31155—2014）的分类方法，稳定度划分为四个等级：很稳定（A）、稳定（B）、一般（C）、欠稳定（D）。</w:t>
      </w:r>
    </w:p>
    <w:p>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4</w:t>
      </w:r>
      <w:r>
        <w:fldChar w:fldCharType="end"/>
      </w:r>
      <w:r>
        <w:rPr>
          <w:rFonts w:hint="eastAsia"/>
        </w:rPr>
        <w:t>稳定度等级</w:t>
      </w:r>
    </w:p>
    <w:tbl>
      <w:tblPr>
        <w:tblStyle w:val="31"/>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59"/>
        <w:gridCol w:w="3024"/>
        <w:gridCol w:w="2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rFonts w:hint="eastAsia"/>
                <w:b/>
                <w:color w:val="FFFFFF" w:themeColor="background1"/>
                <w14:textFill>
                  <w14:solidFill>
                    <w14:schemeClr w14:val="bg1"/>
                  </w14:solidFill>
                </w14:textFill>
              </w:rPr>
              <w:t>等级名称</w:t>
            </w:r>
          </w:p>
        </w:tc>
        <w:tc>
          <w:tcPr>
            <w:tcW w:w="3024"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分级阈值</w:t>
            </w:r>
          </w:p>
        </w:tc>
        <w:tc>
          <w:tcPr>
            <w:tcW w:w="2554"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很稳定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0.36≤GHRS＜0.47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一般</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0.28≤GHRS＜0.36</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欠稳定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GHRS＜0.28</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D</w:t>
            </w:r>
          </w:p>
        </w:tc>
      </w:tr>
    </w:tbl>
    <w:p>
      <w:pPr>
        <w:pStyle w:val="3"/>
        <w:spacing w:line="276" w:lineRule="auto"/>
        <w:ind w:firstLine="480" w:firstLineChars="200"/>
      </w:pPr>
      <w:r>
        <w:rPr>
          <w:rFonts w:hint="eastAsia"/>
        </w:rPr>
        <w:t>本项目所在地的</w:t>
      </w:r>
      <w:r>
        <w:t>GHRS</w:t>
      </w:r>
      <w:r>
        <w:rPr>
          <w:rFonts w:hint="eastAsia"/>
        </w:rPr>
        <w:t>（表示水平面总辐射稳定度）为</w:t>
      </w:r>
      <w:bookmarkStart w:id="30" w:name="稳定度GHRS"/>
      <w:r>
        <w:t>0.27，等级B稳定地区</w:t>
      </w:r>
      <w:bookmarkEnd w:id="30"/>
      <w:r>
        <w:rPr>
          <w:rFonts w:hint="eastAsia"/>
        </w:rPr>
        <w:t>。</w:t>
      </w:r>
    </w:p>
    <w:p>
      <w:pPr>
        <w:pStyle w:val="2"/>
      </w:pPr>
      <w:bookmarkStart w:id="31" w:name="_Toc127542295"/>
      <w:bookmarkStart w:id="32" w:name="_Toc134261591"/>
      <w:r>
        <w:rPr>
          <w:rFonts w:hint="eastAsia"/>
        </w:rPr>
        <w:t>软件选用</w:t>
      </w:r>
      <w:bookmarkEnd w:id="31"/>
      <w:bookmarkEnd w:id="32"/>
    </w:p>
    <w:p>
      <w:pPr>
        <w:pStyle w:val="3"/>
        <w:ind w:firstLine="480" w:firstLineChars="200"/>
      </w:pPr>
      <w:r>
        <w:rPr>
          <w:rFonts w:hint="eastAsia"/>
        </w:rPr>
        <w:t>绿建斯维尔建筑光伏软件B</w:t>
      </w:r>
      <w:r>
        <w:t>PV</w:t>
      </w:r>
      <w:r>
        <w:rPr>
          <w:rFonts w:hint="eastAsia"/>
        </w:rPr>
        <w:t>可对全国太阳能资源数据进行合理分析，获得最佳倾角、最佳位置、集热需求量等数据，协助用户完成项目规划，并对光伏板进行发电量计算。日照分析为建筑规划提供日照分析工具、绿色建筑指标及太阳能利用模块，包含丰富的定量分析手段、直观的可视化阴影仿真及多种彩图展示。软件计算快速、</w:t>
      </w:r>
      <w:r>
        <w:t>结果</w:t>
      </w:r>
      <w:r>
        <w:rPr>
          <w:rFonts w:hint="eastAsia"/>
        </w:rPr>
        <w:t>准确。</w:t>
      </w:r>
    </w:p>
    <w:p>
      <w:pPr>
        <w:pStyle w:val="2"/>
      </w:pPr>
      <w:bookmarkStart w:id="33" w:name="_Toc134261592"/>
      <w:r>
        <w:rPr>
          <w:rFonts w:hint="eastAsia"/>
        </w:rPr>
        <w:t>光伏系统设计</w:t>
      </w:r>
      <w:bookmarkEnd w:id="33"/>
    </w:p>
    <w:p>
      <w:pPr>
        <w:pStyle w:val="3"/>
        <w:ind w:firstLine="480" w:firstLineChars="200"/>
      </w:pPr>
      <w:bookmarkStart w:id="34" w:name="_Toc275165382"/>
      <w:bookmarkStart w:id="35" w:name="_Toc312399791"/>
      <w:bookmarkStart w:id="36" w:name="_Toc264569232"/>
      <w:bookmarkStart w:id="37" w:name="_Toc290149054"/>
      <w:bookmarkStart w:id="38" w:name="_Toc512608180"/>
      <w:bookmarkStart w:id="39" w:name="_Toc290209336"/>
      <w:bookmarkStart w:id="40" w:name="_Toc264043625"/>
      <w:bookmarkStart w:id="41" w:name="_Toc290209312"/>
      <w:r>
        <w:rPr>
          <w:rFonts w:hint="eastAsia"/>
        </w:rPr>
        <w:t>太阳能作为一种辐射能，清洁并取之不尽，是极佳的可再生能源。然而太阳能受天气的影响和周边环境的遮挡，很不稳定，必须即时转换成其他形式的能量才能利用和储存。光伏发电近年来发展迅速，是一种利用半导体界面的光生伏特效应而将光能直接转变为电能的技术。光伏发电</w:t>
      </w:r>
      <w:r>
        <w:t>无枯竭危险</w:t>
      </w:r>
      <w:r>
        <w:rPr>
          <w:rFonts w:hint="eastAsia"/>
        </w:rPr>
        <w:t>、</w:t>
      </w:r>
      <w:r>
        <w:t>无需消耗燃料</w:t>
      </w:r>
      <w:r>
        <w:rPr>
          <w:rFonts w:hint="eastAsia"/>
        </w:rPr>
        <w:t>、</w:t>
      </w:r>
      <w:r>
        <w:t>无污染排放外，</w:t>
      </w:r>
      <w:r>
        <w:rPr>
          <w:rFonts w:hint="eastAsia"/>
        </w:rPr>
        <w:t>在</w:t>
      </w:r>
      <w:r>
        <w:t>中国</w:t>
      </w:r>
      <w:r>
        <w:fldChar w:fldCharType="begin"/>
      </w:r>
      <w:r>
        <w:instrText xml:space="preserve"> HYPERLINK "http://www.tanpaifang.com/tanzhonghe/" \t "_blank" </w:instrText>
      </w:r>
      <w:r>
        <w:fldChar w:fldCharType="separate"/>
      </w:r>
      <w:r>
        <w:t>碳中和</w:t>
      </w:r>
      <w:r>
        <w:fldChar w:fldCharType="end"/>
      </w:r>
      <w:r>
        <w:t>目标实现过程中起</w:t>
      </w:r>
      <w:r>
        <w:rPr>
          <w:rFonts w:hint="eastAsia"/>
        </w:rPr>
        <w:t>重要</w:t>
      </w:r>
      <w:r>
        <w:t>作用</w:t>
      </w:r>
      <w:r>
        <w:rPr>
          <w:rFonts w:hint="eastAsia"/>
        </w:rPr>
        <w:t>。</w:t>
      </w:r>
    </w:p>
    <w:bookmarkEnd w:id="34"/>
    <w:bookmarkEnd w:id="35"/>
    <w:bookmarkEnd w:id="36"/>
    <w:bookmarkEnd w:id="37"/>
    <w:bookmarkEnd w:id="38"/>
    <w:bookmarkEnd w:id="39"/>
    <w:bookmarkEnd w:id="40"/>
    <w:bookmarkEnd w:id="41"/>
    <w:p>
      <w:pPr>
        <w:pStyle w:val="4"/>
      </w:pPr>
      <w:bookmarkStart w:id="42" w:name="_Toc134261593"/>
      <w:r>
        <w:rPr>
          <w:rFonts w:hint="eastAsia"/>
        </w:rPr>
        <w:t>阴影遮挡分析</w:t>
      </w:r>
      <w:bookmarkEnd w:id="42"/>
    </w:p>
    <w:p>
      <w:pPr>
        <w:pStyle w:val="3"/>
        <w:ind w:firstLine="480" w:firstLineChars="200"/>
        <w:rPr>
          <w:lang w:val="en-US"/>
        </w:rPr>
      </w:pPr>
      <w:r>
        <w:rPr>
          <w:rFonts w:hint="eastAsia"/>
          <w:lang w:val="en-US"/>
        </w:rPr>
        <w:t>遮挡及阴影是影响发电量的常见因素。周边建筑、地形、光伏方阵之间的遮挡都会对发电量产生显著的影响。据测算显示，光伏系统中微乎其微的树荫及电线阴影，可能导致发电量降低大约20—30%。</w:t>
      </w:r>
      <w:r>
        <w:rPr>
          <w:lang w:val="en-US"/>
        </w:rPr>
        <w:t>《建筑节能与可再生能源利用通用规范》GB 55015—2021</w:t>
      </w:r>
      <w:r>
        <w:rPr>
          <w:rFonts w:hint="eastAsia"/>
          <w:lang w:val="en-US"/>
        </w:rPr>
        <w:t>、《光伏发电站设计规范》</w:t>
      </w:r>
      <w:r>
        <w:rPr>
          <w:lang w:val="en-US"/>
        </w:rPr>
        <w:t>GB50797—2012</w:t>
      </w:r>
      <w:r>
        <w:rPr>
          <w:rFonts w:hint="eastAsia"/>
          <w:lang w:val="en-US"/>
        </w:rPr>
        <w:t>等规范均提出：建筑物上安装的光伏发电系统，不应降低相邻建筑物的日照标准。《光伏发电站设计规范》</w:t>
      </w:r>
      <w:r>
        <w:rPr>
          <w:lang w:val="en-US"/>
        </w:rPr>
        <w:t>GB50797—2012</w:t>
      </w:r>
      <w:r>
        <w:rPr>
          <w:rFonts w:hint="eastAsia"/>
          <w:lang w:val="en-US"/>
        </w:rPr>
        <w:t>还提出光伏方阵各排、列的布置间距应保持冬至日9：</w:t>
      </w:r>
      <w:r>
        <w:rPr>
          <w:lang w:val="en-US"/>
        </w:rPr>
        <w:t>00～15：00</w:t>
      </w:r>
      <w:r>
        <w:rPr>
          <w:rFonts w:hint="eastAsia"/>
          <w:lang w:val="en-US"/>
        </w:rPr>
        <w:t>时段内前后左右互不遮挡。在指定地点和特定节气下，阴影仿真可以真实模拟建筑场景中的日照阴影投影情况，用于检查不同日期不同时刻遮挡情况。</w:t>
      </w:r>
    </w:p>
    <w:p>
      <w:pPr>
        <w:pStyle w:val="3"/>
        <w:ind w:firstLine="480" w:firstLineChars="200"/>
        <w:rPr>
          <w:lang w:val="en-US"/>
        </w:rPr>
      </w:pPr>
    </w:p>
    <w:p>
      <w:pPr>
        <w:pStyle w:val="3"/>
        <w:spacing w:before="240"/>
        <w:jc w:val="center"/>
        <w:rPr>
          <w:lang w:val="en-US"/>
        </w:rPr>
      </w:pPr>
      <w:bookmarkStart w:id="43" w:name="遮挡分析图"/>
      <w:bookmarkEnd w:id="43"/>
      <w:r>
        <w:rPr>
          <w:lang w:val="en-US"/>
        </w:rPr>
        <w:drawing>
          <wp:inline distT="0" distB="0" distL="0" distR="0">
            <wp:extent cx="5667375" cy="48291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5"/>
                    <a:stretch>
                      <a:fillRect/>
                    </a:stretch>
                  </pic:blipFill>
                  <pic:spPr>
                    <a:xfrm>
                      <a:off x="0" y="0"/>
                      <a:ext cx="5667375" cy="4829175"/>
                    </a:xfrm>
                    <a:prstGeom prst="rect">
                      <a:avLst/>
                    </a:prstGeom>
                  </pic:spPr>
                </pic:pic>
              </a:graphicData>
            </a:graphic>
          </wp:inline>
        </w:drawing>
      </w:r>
    </w:p>
    <w:p>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6</w:t>
      </w:r>
      <w:r>
        <w:fldChar w:fldCharType="end"/>
      </w:r>
      <w:r>
        <w:rPr>
          <w:rFonts w:hint="eastAsia"/>
        </w:rPr>
        <w:t>遮挡分析图</w:t>
      </w:r>
    </w:p>
    <w:p>
      <w:pPr>
        <w:pStyle w:val="3"/>
        <w:ind w:firstLine="480" w:firstLineChars="200"/>
        <w:rPr>
          <w:strike/>
          <w:lang w:val="en-US"/>
        </w:rPr>
      </w:pPr>
    </w:p>
    <w:p>
      <w:pPr>
        <w:pStyle w:val="4"/>
      </w:pPr>
      <w:bookmarkStart w:id="44" w:name="_Toc134261594"/>
      <w:r>
        <w:t>辐照分析</w:t>
      </w:r>
      <w:bookmarkEnd w:id="44"/>
    </w:p>
    <w:p>
      <w:pPr>
        <w:pStyle w:val="3"/>
        <w:ind w:firstLine="480" w:firstLineChars="200"/>
        <w:rPr>
          <w:lang w:val="en-US"/>
        </w:rPr>
      </w:pPr>
      <w:r>
        <w:rPr>
          <w:rFonts w:hint="eastAsia"/>
          <w:lang w:val="en-US"/>
        </w:rPr>
        <w:t>对地面和建筑物表面进行太阳辐照分析，可以观察建筑物表面太阳辐照水平的分布情况，评估光伏板在建筑屋顶和外立面安装的最佳区域。</w:t>
      </w:r>
    </w:p>
    <w:p>
      <w:pPr>
        <w:pStyle w:val="15"/>
      </w:pPr>
      <w:bookmarkStart w:id="45" w:name="辐照分析彩图"/>
      <w:bookmarkEnd w:id="45"/>
      <w:r>
        <w:t>请运行[全景辐照]命令，软件会生成对应辐照分析彩图！</w:t>
      </w:r>
    </w:p>
    <w:p>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7</w:t>
      </w:r>
      <w:r>
        <w:fldChar w:fldCharType="end"/>
      </w:r>
      <w:r>
        <w:rPr>
          <w:rFonts w:hint="eastAsia"/>
        </w:rPr>
        <w:t>辐照分析图</w:t>
      </w:r>
    </w:p>
    <w:p>
      <w:pPr>
        <w:pStyle w:val="4"/>
      </w:pPr>
      <w:bookmarkStart w:id="46" w:name="_Toc134261595"/>
      <w:r>
        <w:rPr>
          <w:rFonts w:hint="eastAsia"/>
        </w:rPr>
        <w:t>光伏方阵设计</w:t>
      </w:r>
      <w:bookmarkEnd w:id="46"/>
    </w:p>
    <w:p>
      <w:pPr>
        <w:pStyle w:val="3"/>
        <w:ind w:firstLine="480"/>
        <w:rPr>
          <w:lang w:val="en-US"/>
        </w:rPr>
      </w:pPr>
      <w:r>
        <w:rPr>
          <w:rFonts w:hint="eastAsia"/>
          <w:lang w:val="en-US"/>
        </w:rPr>
        <w:t>通过对</w:t>
      </w:r>
      <w:bookmarkStart w:id="47" w:name="工程地点2"/>
      <w:r>
        <w:rPr>
          <w:rFonts w:hint="eastAsia"/>
        </w:rPr>
        <w:t>西安</w:t>
      </w:r>
      <w:bookmarkEnd w:id="47"/>
      <w:r>
        <w:rPr>
          <w:rFonts w:hint="eastAsia"/>
          <w:lang w:val="en-US"/>
        </w:rPr>
        <w:t>太阳能资源、气象条件进行科学分析，结合现有建筑物并充分考虑周边建筑遮挡、光伏组件遮挡的影响，对光伏板的布置位置、角度等进行优化设计，以实现最大化的电能收集效益。</w:t>
      </w:r>
    </w:p>
    <w:p>
      <w:pPr>
        <w:pStyle w:val="5"/>
      </w:pPr>
      <w:bookmarkStart w:id="48" w:name="_Toc134261596"/>
      <w:r>
        <w:rPr>
          <w:rFonts w:hint="eastAsia"/>
        </w:rPr>
        <w:t>安装倾角</w:t>
      </w:r>
      <w:bookmarkEnd w:id="48"/>
    </w:p>
    <w:p>
      <w:pPr>
        <w:pStyle w:val="3"/>
        <w:ind w:firstLine="480"/>
        <w:rPr>
          <w:lang w:val="en-US"/>
        </w:rPr>
      </w:pPr>
      <w:r>
        <w:rPr>
          <w:rFonts w:hint="eastAsia"/>
          <w:lang w:val="en-US"/>
        </w:rPr>
        <w:t>光伏方阵的安装倾角、朝向对光伏发电系统的效率影响很大，固定式安装的倾角一般采用全年接收太阳能辐射量最大的角度。</w:t>
      </w:r>
      <w:r>
        <w:rPr>
          <w:rFonts w:hint="eastAsia"/>
          <w:b/>
          <w:lang w:val="en-US"/>
        </w:rPr>
        <w:t>《光伏发电站设计规范》G</w:t>
      </w:r>
      <w:r>
        <w:rPr>
          <w:b/>
          <w:lang w:val="en-US"/>
        </w:rPr>
        <w:t>B50797</w:t>
      </w:r>
      <w:r>
        <w:rPr>
          <w:rFonts w:hint="eastAsia"/>
          <w:b/>
          <w:lang w:val="en-US"/>
        </w:rPr>
        <w:t>中</w:t>
      </w:r>
      <w:r>
        <w:rPr>
          <w:rFonts w:hint="eastAsia"/>
          <w:b/>
        </w:rPr>
        <w:t>独立系统推荐倾角为：</w:t>
      </w:r>
      <w:bookmarkStart w:id="49" w:name="独立推荐倾角"/>
      <w:r>
        <w:rPr>
          <w:rFonts w:hint="eastAsia"/>
          <w:b/>
        </w:rPr>
        <w:t>48.3</w:t>
      </w:r>
      <w:bookmarkEnd w:id="49"/>
      <w:r>
        <w:rPr>
          <w:rFonts w:hint="eastAsia"/>
          <w:b/>
        </w:rPr>
        <w:t>°；并网系统推荐倾角为</w:t>
      </w:r>
      <w:bookmarkStart w:id="50" w:name="并网推荐倾角"/>
      <w:r>
        <w:rPr>
          <w:rFonts w:hint="eastAsia"/>
          <w:b/>
        </w:rPr>
        <w:t>29.3</w:t>
      </w:r>
      <w:bookmarkEnd w:id="50"/>
      <w:r>
        <w:rPr>
          <w:rFonts w:hint="eastAsia"/>
          <w:b/>
        </w:rPr>
        <w:t>°。</w:t>
      </w:r>
      <w:r>
        <w:rPr>
          <w:rFonts w:hint="eastAsia"/>
        </w:rPr>
        <w:t>建筑光伏一体化</w:t>
      </w:r>
      <w:r>
        <w:rPr>
          <w:rFonts w:hint="eastAsia"/>
          <w:lang w:val="en-US"/>
        </w:rPr>
        <w:t>一般将安装在建筑表面，如屋顶、外墙、幕墙等，倾角设置还需考虑建筑自身情况。</w:t>
      </w:r>
    </w:p>
    <w:p>
      <w:pPr>
        <w:pStyle w:val="5"/>
      </w:pPr>
      <w:bookmarkStart w:id="51" w:name="_Toc134261597"/>
      <w:r>
        <w:rPr>
          <w:rFonts w:hint="eastAsia"/>
        </w:rPr>
        <w:t>方阵设计</w:t>
      </w:r>
      <w:bookmarkEnd w:id="51"/>
    </w:p>
    <w:p>
      <w:pPr>
        <w:pStyle w:val="3"/>
        <w:ind w:firstLine="480"/>
        <w:rPr>
          <w:lang w:val="en-US"/>
        </w:rPr>
      </w:pPr>
      <w:r>
        <w:rPr>
          <w:rFonts w:hint="eastAsia"/>
          <w:lang w:val="en-US"/>
        </w:rPr>
        <w:t>本项目光伏方阵的安装方案如下：</w:t>
      </w:r>
    </w:p>
    <w:p>
      <w:pPr>
        <w:pStyle w:val="15"/>
        <w:spacing w:before="240"/>
        <w:rPr>
          <w:rFonts w:cs="宋体"/>
          <w:bCs/>
          <w:color w:val="000000"/>
          <w:szCs w:val="18"/>
          <w:lang w:val="en-US"/>
        </w:rPr>
      </w:pPr>
      <w:r>
        <w:t xml:space="preserve">表 </w:t>
      </w:r>
      <w:r>
        <w:fldChar w:fldCharType="begin"/>
      </w:r>
      <w:r>
        <w:instrText xml:space="preserve"> SEQ 表 \* ARABIC </w:instrText>
      </w:r>
      <w:r>
        <w:fldChar w:fldCharType="separate"/>
      </w:r>
      <w:r>
        <w:t>5</w:t>
      </w:r>
      <w:r>
        <w:fldChar w:fldCharType="end"/>
      </w:r>
      <w:r>
        <w:rPr>
          <w:rFonts w:hint="eastAsia" w:ascii="黑体" w:hAnsi="黑体" w:cs="宋体"/>
          <w:bCs/>
          <w:color w:val="000000"/>
          <w:szCs w:val="18"/>
          <w:lang w:val="en-US"/>
        </w:rPr>
        <w:t>光伏组件布置统计表</w:t>
      </w:r>
    </w:p>
    <w:tbl>
      <w:tblPr>
        <w:tblStyle w:val="72"/>
        <w:tblW w:w="8982" w:type="dxa"/>
        <w:tblInd w:w="0" w:type="dxa"/>
        <w:tblLayout w:type="fixed"/>
        <w:tblCellMar>
          <w:top w:w="0" w:type="dxa"/>
          <w:left w:w="108" w:type="dxa"/>
          <w:bottom w:w="0" w:type="dxa"/>
          <w:right w:w="108" w:type="dxa"/>
        </w:tblCellMar>
      </w:tblPr>
      <w:tblGrid>
        <w:gridCol w:w="2328"/>
        <w:gridCol w:w="2218"/>
        <w:gridCol w:w="2218"/>
        <w:gridCol w:w="2218"/>
      </w:tblGrid>
      <w:tr>
        <w:tblPrEx>
          <w:tblCellMar>
            <w:top w:w="0" w:type="dxa"/>
            <w:left w:w="108" w:type="dxa"/>
            <w:bottom w:w="0" w:type="dxa"/>
            <w:right w:w="108" w:type="dxa"/>
          </w:tblCellMar>
        </w:tblPrEx>
        <w:tc>
          <w:tcPr>
            <w:tcW w:w="2328" w:type="dxa"/>
            <w:tcBorders>
              <w:top w:val="single" w:color="FFFFFF" w:themeColor="background1" w:sz="18" w:space="0"/>
              <w:left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52" w:name="光伏板参数表" w:colFirst="0" w:colLast="3"/>
            <w:r>
              <w:rPr>
                <w:b/>
                <w:bCs/>
                <w:color w:val="FFFFFF" w:themeColor="background1"/>
                <w:szCs w:val="21"/>
                <w14:textFill>
                  <w14:solidFill>
                    <w14:schemeClr w14:val="bg1"/>
                  </w14:solidFill>
                </w14:textFill>
              </w:rPr>
              <w:t>尺寸/面积</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朝向角</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倾角</w:t>
            </w:r>
          </w:p>
        </w:tc>
        <w:tc>
          <w:tcPr>
            <w:tcW w:w="2218" w:type="dxa"/>
            <w:tcBorders>
              <w:top w:val="single" w:color="FFFFFF" w:themeColor="background1" w:sz="18" w:space="0"/>
              <w:bottom w:val="single" w:color="C8C8C8" w:themeColor="accent3" w:themeTint="99" w:sz="4" w:space="0"/>
              <w:right w:val="single" w:color="FFFFFF" w:themeColor="background1" w:sz="18"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数量</w:t>
            </w:r>
          </w:p>
        </w:tc>
      </w:tr>
      <w:tr>
        <w:tblPrEx>
          <w:tblCellMar>
            <w:top w:w="0" w:type="dxa"/>
            <w:left w:w="108" w:type="dxa"/>
            <w:bottom w:w="0" w:type="dxa"/>
            <w:right w:w="108" w:type="dxa"/>
          </w:tblCellMar>
        </w:tblPrEx>
        <w:tc>
          <w:tcPr>
            <w:tcW w:w="2328" w:type="dxa"/>
            <w:tcBorders>
              <w:left w:val="single" w:color="FFFFFF" w:themeColor="background1" w:sz="18" w:space="0"/>
            </w:tcBorders>
            <w:shd w:val="clear" w:color="auto" w:fill="ECECEC" w:themeFill="accent3" w:themeFillTint="33"/>
          </w:tcPr>
          <w:p>
            <w:pPr>
              <w:jc w:val="center"/>
              <w:rPr>
                <w:b w:val="0"/>
                <w:bCs w:val="0"/>
                <w:szCs w:val="21"/>
              </w:rPr>
            </w:pPr>
            <w:r>
              <w:rPr>
                <w:b w:val="0"/>
                <w:bCs w:val="0"/>
                <w:szCs w:val="21"/>
              </w:rPr>
              <w:t>1.64(1.65X0.99)</w:t>
            </w:r>
          </w:p>
        </w:tc>
        <w:tc>
          <w:tcPr>
            <w:tcW w:w="2218" w:type="dxa"/>
            <w:shd w:val="clear" w:color="auto" w:fill="ECECEC" w:themeFill="accent3" w:themeFillTint="33"/>
          </w:tcPr>
          <w:p>
            <w:pPr>
              <w:jc w:val="center"/>
              <w:rPr>
                <w:szCs w:val="21"/>
              </w:rPr>
            </w:pPr>
            <w:r>
              <w:rPr>
                <w:szCs w:val="21"/>
              </w:rPr>
              <w:t>正南</w:t>
            </w:r>
          </w:p>
        </w:tc>
        <w:tc>
          <w:tcPr>
            <w:tcW w:w="2218" w:type="dxa"/>
            <w:shd w:val="clear" w:color="auto" w:fill="ECECEC" w:themeFill="accent3" w:themeFillTint="33"/>
          </w:tcPr>
          <w:p>
            <w:pPr>
              <w:jc w:val="center"/>
              <w:rPr>
                <w:szCs w:val="21"/>
              </w:rPr>
            </w:pPr>
            <w:r>
              <w:rPr>
                <w:szCs w:val="21"/>
              </w:rPr>
              <w:t>30</w:t>
            </w:r>
          </w:p>
        </w:tc>
        <w:tc>
          <w:tcPr>
            <w:tcW w:w="2218" w:type="dxa"/>
            <w:tcBorders>
              <w:right w:val="single" w:color="FFFFFF" w:themeColor="background1" w:sz="18" w:space="0"/>
            </w:tcBorders>
            <w:shd w:val="clear" w:color="auto" w:fill="ECECEC" w:themeFill="accent3" w:themeFillTint="33"/>
          </w:tcPr>
          <w:p>
            <w:pPr>
              <w:jc w:val="center"/>
              <w:rPr>
                <w:szCs w:val="21"/>
              </w:rPr>
            </w:pPr>
            <w:r>
              <w:rPr>
                <w:szCs w:val="21"/>
              </w:rPr>
              <w:t>194</w:t>
            </w:r>
          </w:p>
        </w:tc>
      </w:tr>
      <w:bookmarkEnd w:id="52"/>
    </w:tbl>
    <w:p>
      <w:pPr>
        <w:pStyle w:val="3"/>
      </w:pPr>
    </w:p>
    <w:p>
      <w:pPr>
        <w:pStyle w:val="3"/>
        <w:jc w:val="center"/>
      </w:pPr>
      <w:bookmarkStart w:id="53" w:name="模型观察图"/>
      <w:bookmarkEnd w:id="53"/>
    </w:p>
    <w:p>
      <w:pPr>
        <w:pStyle w:val="4"/>
      </w:pPr>
      <w:bookmarkStart w:id="54" w:name="_Toc134261598"/>
      <w:r>
        <w:rPr>
          <w:rFonts w:hint="eastAsia"/>
        </w:rPr>
        <w:t>光伏组件和逆变器的选择</w:t>
      </w:r>
      <w:bookmarkEnd w:id="54"/>
    </w:p>
    <w:p>
      <w:pPr>
        <w:pStyle w:val="3"/>
        <w:ind w:firstLine="480" w:firstLineChars="200"/>
        <w:rPr>
          <w:lang w:val="en-US"/>
        </w:rPr>
      </w:pPr>
      <w:r>
        <w:rPr>
          <w:rFonts w:hint="eastAsia"/>
          <w:lang w:val="en-US"/>
        </w:rPr>
        <w:t>光伏组件是光伏发电系统的核心部件，其光电转换效率、各项参数指标直接影响光伏发电系统的发电性能。光伏产业的太阳能电池分为晶体硅太阳能电池和非晶硅太阳能电池，常见的有单晶硅、多晶硅、薄膜、</w:t>
      </w:r>
      <w:r>
        <w:rPr>
          <w:lang w:val="en-US"/>
        </w:rPr>
        <w:t>铜铟硒太阳能电池</w:t>
      </w:r>
      <w:r>
        <w:rPr>
          <w:rFonts w:hint="eastAsia"/>
          <w:lang w:val="en-US"/>
        </w:rPr>
        <w:t>等。不同类型的光伏组件转换效率、衰减率、成本、应用范围均有差异。晶硅类主要有单晶硅和多晶组件，采用刚性结构；薄膜类主要以非晶薄膜组件为主，即可采用刚性结构，也可采用柔性结构。对于轻型结构屋顶，承载能力有限时，可以选用柔性结构薄膜组件。</w:t>
      </w:r>
    </w:p>
    <w:p>
      <w:pPr>
        <w:pStyle w:val="3"/>
        <w:ind w:firstLine="480" w:firstLineChars="200"/>
        <w:rPr>
          <w:lang w:val="en-US"/>
        </w:rPr>
      </w:pPr>
      <w:r>
        <w:rPr>
          <w:rFonts w:hint="eastAsia"/>
          <w:lang w:val="en-US"/>
        </w:rPr>
        <w:t>组件选型和当地气象条件相关，太阳辐射量较高、直射分量较大的地区宜选用晶体硅光伏组件或聚光光伏组件。太阳辐射量较低、散射分量较大、环境温度较高的地区宜选用薄膜光伏组件。</w:t>
      </w:r>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6</w:t>
      </w:r>
      <w:r>
        <w:fldChar w:fldCharType="end"/>
      </w:r>
      <w:r>
        <w:rPr>
          <w:rFonts w:hint="eastAsia" w:ascii="黑体" w:hAnsi="黑体" w:cs="宋体"/>
          <w:bCs/>
          <w:color w:val="000000"/>
          <w:szCs w:val="18"/>
          <w:lang w:val="en-US"/>
        </w:rPr>
        <w:t>光伏组件参数</w:t>
      </w:r>
    </w:p>
    <w:tbl>
      <w:tblPr>
        <w:tblStyle w:val="72"/>
        <w:tblW w:w="9326" w:type="dxa"/>
        <w:tblInd w:w="0" w:type="dxa"/>
        <w:tblLayout w:type="autofit"/>
        <w:tblCellMar>
          <w:top w:w="0" w:type="dxa"/>
          <w:left w:w="108" w:type="dxa"/>
          <w:bottom w:w="0" w:type="dxa"/>
          <w:right w:w="108" w:type="dxa"/>
        </w:tblCellMar>
      </w:tblPr>
      <w:tblGrid>
        <w:gridCol w:w="651"/>
        <w:gridCol w:w="1264"/>
        <w:gridCol w:w="2373"/>
        <w:gridCol w:w="586"/>
        <w:gridCol w:w="651"/>
        <w:gridCol w:w="651"/>
        <w:gridCol w:w="651"/>
        <w:gridCol w:w="689"/>
        <w:gridCol w:w="651"/>
        <w:gridCol w:w="1159"/>
      </w:tblGrid>
      <w:tr>
        <w:tblPrEx>
          <w:tblCellMar>
            <w:top w:w="0" w:type="dxa"/>
            <w:left w:w="108" w:type="dxa"/>
            <w:bottom w:w="0" w:type="dxa"/>
            <w:right w:w="108" w:type="dxa"/>
          </w:tblCellMar>
        </w:tblPrEx>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55" w:name="组件详表" w:colFirst="0" w:colLast="9"/>
            <w:r>
              <w:rPr>
                <w:b/>
                <w:bCs/>
                <w:color w:val="FFFFFF" w:themeColor="background1"/>
                <w:szCs w:val="21"/>
                <w14:textFill>
                  <w14:solidFill>
                    <w14:schemeClr w14:val="bg1"/>
                  </w14:solidFill>
                </w14:textFill>
              </w:rPr>
              <w:t>序号</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尺寸</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mm</w:t>
            </w:r>
          </w:p>
        </w:tc>
        <w:tc>
          <w:tcPr>
            <w:tcW w:w="2372"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类型</w:t>
            </w:r>
          </w:p>
        </w:tc>
        <w:tc>
          <w:tcPr>
            <w:tcW w:w="586"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数量</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峰值</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功率</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Wp</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每瓦</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成本</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元</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温度</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系数</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标准</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工作</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温度</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首年</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衰减</w:t>
            </w:r>
          </w:p>
        </w:tc>
        <w:tc>
          <w:tcPr>
            <w:tcW w:w="1158"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其它</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年</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衰减</w:t>
            </w:r>
          </w:p>
        </w:tc>
      </w:tr>
      <w:tr>
        <w:tblPrEx>
          <w:tblCellMar>
            <w:top w:w="0" w:type="dxa"/>
            <w:left w:w="108" w:type="dxa"/>
            <w:bottom w:w="0" w:type="dxa"/>
            <w:right w:w="108" w:type="dxa"/>
          </w:tblCellMar>
        </w:tblPrEx>
        <w:tc>
          <w:tcPr>
            <w:tcW w:w="0" w:type="auto"/>
            <w:shd w:val="clear" w:color="auto" w:fill="ECECEC" w:themeFill="accent3" w:themeFillTint="33"/>
          </w:tcPr>
          <w:p>
            <w:pPr>
              <w:jc w:val="center"/>
              <w:rPr>
                <w:b w:val="0"/>
                <w:bCs w:val="0"/>
                <w:szCs w:val="21"/>
              </w:rPr>
            </w:pPr>
            <w:r>
              <w:rPr>
                <w:b w:val="0"/>
                <w:bCs w:val="0"/>
                <w:szCs w:val="21"/>
              </w:rPr>
              <w:t>1</w:t>
            </w:r>
          </w:p>
        </w:tc>
        <w:tc>
          <w:tcPr>
            <w:tcW w:w="0" w:type="auto"/>
            <w:shd w:val="clear" w:color="auto" w:fill="ECECEC" w:themeFill="accent3" w:themeFillTint="33"/>
          </w:tcPr>
          <w:p>
            <w:pPr>
              <w:jc w:val="center"/>
              <w:rPr>
                <w:szCs w:val="21"/>
              </w:rPr>
            </w:pPr>
            <w:r>
              <w:rPr>
                <w:szCs w:val="21"/>
              </w:rPr>
              <w:t>1650×992</w:t>
            </w:r>
          </w:p>
        </w:tc>
        <w:tc>
          <w:tcPr>
            <w:tcW w:w="2372" w:type="dxa"/>
            <w:shd w:val="clear" w:color="auto" w:fill="ECECEC" w:themeFill="accent3" w:themeFillTint="33"/>
          </w:tcPr>
          <w:p>
            <w:pPr>
              <w:jc w:val="center"/>
              <w:rPr>
                <w:szCs w:val="21"/>
              </w:rPr>
            </w:pPr>
            <w:r>
              <w:rPr>
                <w:szCs w:val="21"/>
              </w:rPr>
              <w:t>单晶硅</w:t>
            </w:r>
          </w:p>
        </w:tc>
        <w:tc>
          <w:tcPr>
            <w:tcW w:w="586" w:type="dxa"/>
            <w:shd w:val="clear" w:color="auto" w:fill="ECECEC" w:themeFill="accent3" w:themeFillTint="33"/>
          </w:tcPr>
          <w:p>
            <w:pPr>
              <w:jc w:val="center"/>
              <w:rPr>
                <w:szCs w:val="21"/>
              </w:rPr>
            </w:pPr>
            <w:r>
              <w:rPr>
                <w:szCs w:val="21"/>
              </w:rPr>
              <w:t>194</w:t>
            </w:r>
          </w:p>
        </w:tc>
        <w:tc>
          <w:tcPr>
            <w:tcW w:w="0" w:type="auto"/>
            <w:shd w:val="clear" w:color="auto" w:fill="ECECEC" w:themeFill="accent3" w:themeFillTint="33"/>
          </w:tcPr>
          <w:p>
            <w:pPr>
              <w:jc w:val="center"/>
              <w:rPr>
                <w:szCs w:val="21"/>
              </w:rPr>
            </w:pPr>
            <w:r>
              <w:rPr>
                <w:szCs w:val="21"/>
              </w:rPr>
              <w:t>260</w:t>
            </w:r>
          </w:p>
        </w:tc>
        <w:tc>
          <w:tcPr>
            <w:tcW w:w="0" w:type="auto"/>
            <w:shd w:val="clear" w:color="auto" w:fill="ECECEC" w:themeFill="accent3" w:themeFillTint="33"/>
          </w:tcPr>
          <w:p>
            <w:pPr>
              <w:jc w:val="center"/>
              <w:rPr>
                <w:szCs w:val="21"/>
              </w:rPr>
            </w:pPr>
            <w:r>
              <w:rPr>
                <w:szCs w:val="21"/>
              </w:rPr>
              <w:t>5</w:t>
            </w:r>
          </w:p>
        </w:tc>
        <w:tc>
          <w:tcPr>
            <w:tcW w:w="0" w:type="auto"/>
            <w:shd w:val="clear" w:color="auto" w:fill="ECECEC" w:themeFill="accent3" w:themeFillTint="33"/>
          </w:tcPr>
          <w:p>
            <w:pPr>
              <w:jc w:val="center"/>
              <w:rPr>
                <w:szCs w:val="21"/>
              </w:rPr>
            </w:pPr>
            <w:r>
              <w:rPr>
                <w:szCs w:val="21"/>
              </w:rPr>
              <w:t>0.5</w:t>
            </w:r>
          </w:p>
        </w:tc>
        <w:tc>
          <w:tcPr>
            <w:tcW w:w="0" w:type="auto"/>
            <w:shd w:val="clear" w:color="auto" w:fill="ECECEC" w:themeFill="accent3" w:themeFillTint="33"/>
          </w:tcPr>
          <w:p>
            <w:pPr>
              <w:jc w:val="center"/>
              <w:rPr>
                <w:szCs w:val="21"/>
              </w:rPr>
            </w:pPr>
            <w:r>
              <w:rPr>
                <w:szCs w:val="21"/>
              </w:rPr>
              <w:t>25℃</w:t>
            </w:r>
          </w:p>
        </w:tc>
        <w:tc>
          <w:tcPr>
            <w:tcW w:w="0" w:type="auto"/>
            <w:shd w:val="clear" w:color="auto" w:fill="ECECEC" w:themeFill="accent3" w:themeFillTint="33"/>
          </w:tcPr>
          <w:p>
            <w:pPr>
              <w:jc w:val="center"/>
              <w:rPr>
                <w:szCs w:val="21"/>
              </w:rPr>
            </w:pPr>
            <w:r>
              <w:rPr>
                <w:szCs w:val="21"/>
              </w:rPr>
              <w:t>5%</w:t>
            </w:r>
          </w:p>
        </w:tc>
        <w:tc>
          <w:tcPr>
            <w:tcW w:w="1158" w:type="dxa"/>
            <w:shd w:val="clear" w:color="auto" w:fill="ECECEC" w:themeFill="accent3" w:themeFillTint="33"/>
          </w:tcPr>
          <w:p>
            <w:pPr>
              <w:jc w:val="center"/>
              <w:rPr>
                <w:szCs w:val="21"/>
              </w:rPr>
            </w:pPr>
            <w:r>
              <w:rPr>
                <w:szCs w:val="21"/>
              </w:rPr>
              <w:t>0.7%</w:t>
            </w:r>
          </w:p>
        </w:tc>
      </w:tr>
      <w:bookmarkEnd w:id="55"/>
    </w:tbl>
    <w:p>
      <w:pPr>
        <w:jc w:val="center"/>
      </w:pPr>
    </w:p>
    <w:p>
      <w:pPr>
        <w:pStyle w:val="2"/>
      </w:pPr>
      <w:bookmarkStart w:id="56" w:name="_Toc134261599"/>
      <w:r>
        <w:rPr>
          <w:rFonts w:hint="eastAsia"/>
        </w:rPr>
        <w:t>光伏发电产量</w:t>
      </w:r>
      <w:bookmarkEnd w:id="56"/>
    </w:p>
    <w:p>
      <w:pPr>
        <w:pStyle w:val="4"/>
      </w:pPr>
      <w:bookmarkStart w:id="57" w:name="_Toc134261600"/>
      <w:r>
        <w:rPr>
          <w:rFonts w:hint="eastAsia"/>
        </w:rPr>
        <w:t>发电量算法</w:t>
      </w:r>
      <w:bookmarkEnd w:id="57"/>
    </w:p>
    <w:p>
      <w:pPr>
        <w:pStyle w:val="3"/>
        <w:ind w:firstLine="480"/>
        <w:rPr>
          <w:lang w:val="en-US"/>
        </w:rPr>
      </w:pPr>
      <w:r>
        <w:rPr>
          <w:rFonts w:hint="eastAsia"/>
        </w:rPr>
        <w:t>建筑</w:t>
      </w:r>
      <w:r>
        <w:t>光伏系统的发电量应根据所在地的太阳能资源情况、光伏系统的设计、光伏方阵的布置和环境条件等因素计算确定。</w:t>
      </w:r>
      <w:r>
        <w:rPr>
          <w:rFonts w:hint="eastAsia"/>
        </w:rPr>
        <w:t>根据</w:t>
      </w:r>
      <w:r>
        <w:t>《光伏发电站设计规范》GB 50797</w:t>
      </w:r>
      <w:r>
        <w:rPr>
          <w:rFonts w:hint="eastAsia"/>
        </w:rPr>
        <w:t>等标准，可求得光伏系统的发电量值。</w:t>
      </w:r>
    </w:p>
    <w:p>
      <w:pPr>
        <w:ind w:firstLine="630" w:firstLineChars="300"/>
        <w:jc w:val="center"/>
      </w:pPr>
      <w:r>
        <w:object>
          <v:shape id="_x0000_i1025" o:spt="75" type="#_x0000_t75" style="height:39pt;width:10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p>
    <w:p>
      <w:pPr>
        <w:pStyle w:val="3"/>
        <w:ind w:left="420" w:leftChars="200"/>
      </w:pPr>
      <w:r>
        <w:rPr>
          <w:rFonts w:hint="eastAsia"/>
        </w:rPr>
        <w:t>式中E</w:t>
      </w:r>
      <w:r>
        <w:rPr>
          <w:rFonts w:hint="eastAsia"/>
          <w:vertAlign w:val="subscript"/>
        </w:rPr>
        <w:t>p</w:t>
      </w:r>
      <w:r>
        <w:rPr>
          <w:rFonts w:hint="eastAsia"/>
        </w:rPr>
        <w:t>——发电量（kWh）；</w:t>
      </w:r>
    </w:p>
    <w:p>
      <w:pPr>
        <w:pStyle w:val="3"/>
        <w:ind w:left="420" w:leftChars="200"/>
      </w:pPr>
      <w:r>
        <w:rPr>
          <w:rFonts w:hint="eastAsia"/>
        </w:rPr>
        <w:t>H</w:t>
      </w:r>
      <w:r>
        <w:rPr>
          <w:rFonts w:hint="eastAsia"/>
          <w:vertAlign w:val="subscript"/>
        </w:rPr>
        <w:t>A</w:t>
      </w:r>
      <w:r>
        <w:rPr>
          <w:rFonts w:hint="eastAsia"/>
        </w:rPr>
        <w:t>——水平面太阳总辐照量（kWh/m</w:t>
      </w:r>
      <w:r>
        <w:rPr>
          <w:rFonts w:hint="eastAsia"/>
          <w:vertAlign w:val="superscript"/>
        </w:rPr>
        <w:t>2</w:t>
      </w:r>
      <w:r>
        <w:rPr>
          <w:rFonts w:hint="eastAsia"/>
        </w:rPr>
        <w:t>）；</w:t>
      </w:r>
    </w:p>
    <w:p>
      <w:pPr>
        <w:pStyle w:val="3"/>
        <w:ind w:left="420" w:leftChars="200"/>
      </w:pPr>
      <w:r>
        <w:rPr>
          <w:rFonts w:hint="eastAsia"/>
        </w:rPr>
        <w:t>E</w:t>
      </w:r>
      <w:r>
        <w:rPr>
          <w:rFonts w:hint="eastAsia"/>
          <w:vertAlign w:val="subscript"/>
        </w:rPr>
        <w:t>s</w:t>
      </w:r>
      <w:r>
        <w:rPr>
          <w:rFonts w:hint="eastAsia"/>
        </w:rPr>
        <w:t>——标准条件下的辐照度（常数），其值为1kW/m</w:t>
      </w:r>
      <w:r>
        <w:rPr>
          <w:rFonts w:hint="eastAsia"/>
          <w:vertAlign w:val="superscript"/>
        </w:rPr>
        <w:t>2</w:t>
      </w:r>
      <w:r>
        <w:rPr>
          <w:rFonts w:hint="eastAsia"/>
        </w:rPr>
        <w:t>；</w:t>
      </w:r>
    </w:p>
    <w:p>
      <w:pPr>
        <w:pStyle w:val="3"/>
        <w:ind w:left="420" w:leftChars="200"/>
      </w:pPr>
      <w:r>
        <w:t>P</w:t>
      </w:r>
      <w:r>
        <w:rPr>
          <w:rFonts w:hint="eastAsia"/>
        </w:rPr>
        <w:t>——装机容量（kW</w:t>
      </w:r>
      <w:r>
        <w:rPr>
          <w:rFonts w:hint="eastAsia"/>
          <w:vertAlign w:val="subscript"/>
        </w:rPr>
        <w:t>p</w:t>
      </w:r>
      <w:r>
        <w:rPr>
          <w:rFonts w:hint="eastAsia"/>
        </w:rPr>
        <w:t>）；</w:t>
      </w:r>
    </w:p>
    <w:p>
      <w:pPr>
        <w:pStyle w:val="3"/>
        <w:ind w:left="420" w:leftChars="200"/>
      </w:pPr>
      <w:r>
        <w:rPr>
          <w:rFonts w:hint="eastAsia"/>
        </w:rPr>
        <w:t>K——综合效率系数，受逆变器效率、集电线路损耗系数、光伏组件表面污染系数、修正系数等参数影响。</w:t>
      </w:r>
    </w:p>
    <w:p>
      <w:pPr>
        <w:pStyle w:val="4"/>
      </w:pPr>
      <w:bookmarkStart w:id="58" w:name="_Toc134261601"/>
      <w:r>
        <w:rPr>
          <w:rFonts w:hint="eastAsia"/>
        </w:rPr>
        <w:t>系统效率和损失</w:t>
      </w:r>
      <w:bookmarkEnd w:id="58"/>
    </w:p>
    <w:p>
      <w:pPr>
        <w:pStyle w:val="3"/>
        <w:ind w:firstLine="480" w:firstLineChars="200"/>
        <w:rPr>
          <w:lang w:val="en-US"/>
        </w:rPr>
      </w:pPr>
      <w:r>
        <w:rPr>
          <w:rFonts w:hint="eastAsia"/>
          <w:lang w:val="en-US"/>
        </w:rPr>
        <w:t>光伏系统的发电效率受多方面的影响，总效率应包含光伏组件效率、逆变器效率、交流并网效率等。根据国内外已建光伏发电工程的运行经验，系统总效率约在</w:t>
      </w:r>
      <w:r>
        <w:rPr>
          <w:lang w:val="en-US"/>
        </w:rPr>
        <w:t>75%～82%之间</w:t>
      </w:r>
      <w:r>
        <w:rPr>
          <w:rFonts w:hint="eastAsia"/>
          <w:lang w:val="en-US"/>
        </w:rPr>
        <w:t>。</w:t>
      </w:r>
    </w:p>
    <w:p>
      <w:pPr>
        <w:pStyle w:val="3"/>
        <w:ind w:firstLine="480" w:firstLineChars="200"/>
        <w:rPr>
          <w:lang w:val="en-US"/>
        </w:rPr>
      </w:pPr>
      <w:r>
        <w:rPr>
          <w:rFonts w:hint="eastAsia"/>
          <w:lang w:val="en-US"/>
        </w:rPr>
        <w:t>逆变器作为光伏发电系统中将直流电转换为交流电的关键设备之一，其选型对于发电系统的转换效率和可靠性具有重要作用。逆变器转换效率越高，则光伏发电系统的转换效率越高，系统总发电量损失越小，系统经济性也越高。</w:t>
      </w:r>
    </w:p>
    <w:p>
      <w:pPr>
        <w:pStyle w:val="3"/>
        <w:ind w:firstLine="480" w:firstLineChars="200"/>
        <w:rPr>
          <w:lang w:val="en-US"/>
        </w:rPr>
      </w:pPr>
      <w:r>
        <w:rPr>
          <w:lang w:val="en-US"/>
        </w:rPr>
        <w:t>各影响因素参考值如下表所示：</w:t>
      </w:r>
    </w:p>
    <w:p>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7</w:t>
      </w:r>
      <w:r>
        <w:fldChar w:fldCharType="end"/>
      </w:r>
      <w:r>
        <w:rPr>
          <w:rFonts w:hint="eastAsia" w:ascii="黑体" w:hAnsi="黑体" w:cs="宋体"/>
          <w:bCs/>
          <w:color w:val="000000"/>
          <w:szCs w:val="18"/>
          <w:lang w:val="en-US"/>
        </w:rPr>
        <w:t>光伏系统计算参数表</w:t>
      </w:r>
    </w:p>
    <w:tbl>
      <w:tblPr>
        <w:tblStyle w:val="72"/>
        <w:tblW w:w="9282" w:type="dxa"/>
        <w:tblInd w:w="0" w:type="dxa"/>
        <w:tblLayout w:type="fixed"/>
        <w:tblCellMar>
          <w:top w:w="0" w:type="dxa"/>
          <w:left w:w="108" w:type="dxa"/>
          <w:bottom w:w="0" w:type="dxa"/>
          <w:right w:w="108" w:type="dxa"/>
        </w:tblCellMar>
      </w:tblPr>
      <w:tblGrid>
        <w:gridCol w:w="2320"/>
        <w:gridCol w:w="2320"/>
        <w:gridCol w:w="2321"/>
        <w:gridCol w:w="2321"/>
      </w:tblGrid>
      <w:tr>
        <w:tblPrEx>
          <w:tblCellMar>
            <w:top w:w="0" w:type="dxa"/>
            <w:left w:w="108" w:type="dxa"/>
            <w:bottom w:w="0" w:type="dxa"/>
            <w:right w:w="108" w:type="dxa"/>
          </w:tblCellMar>
        </w:tblPrEx>
        <w:tc>
          <w:tcPr>
            <w:tcW w:w="9282" w:type="dxa"/>
            <w:gridSpan w:val="4"/>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59" w:name="光伏系统信息表" w:colFirst="0" w:colLast="2"/>
            <w:r>
              <w:rPr>
                <w:b/>
                <w:bCs/>
                <w:color w:val="FFFFFF" w:themeColor="background1"/>
                <w:szCs w:val="21"/>
                <w14:textFill>
                  <w14:solidFill>
                    <w14:schemeClr w14:val="bg1"/>
                  </w14:solidFill>
                </w14:textFill>
              </w:rPr>
              <w:t>光伏系统信息</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组件类型</w:t>
            </w:r>
          </w:p>
        </w:tc>
        <w:tc>
          <w:tcPr>
            <w:tcW w:w="2320" w:type="dxa"/>
            <w:shd w:val="clear" w:color="auto" w:fill="ECECEC" w:themeFill="accent3" w:themeFillTint="33"/>
          </w:tcPr>
          <w:p>
            <w:r>
              <w:t>单晶硅</w:t>
            </w:r>
          </w:p>
        </w:tc>
        <w:tc>
          <w:tcPr>
            <w:tcW w:w="2321" w:type="dxa"/>
            <w:shd w:val="clear" w:color="auto" w:fill="ECECEC" w:themeFill="accent3" w:themeFillTint="33"/>
          </w:tcPr>
          <w:p>
            <w:r>
              <w:t>组件数量</w:t>
            </w:r>
          </w:p>
        </w:tc>
        <w:tc>
          <w:tcPr>
            <w:tcW w:w="2321" w:type="dxa"/>
            <w:shd w:val="clear" w:color="auto" w:fill="ECECEC" w:themeFill="accent3" w:themeFillTint="33"/>
          </w:tcPr>
          <w:p>
            <w:r>
              <w:t>194</w:t>
            </w:r>
          </w:p>
        </w:tc>
      </w:tr>
      <w:tr>
        <w:tblPrEx>
          <w:tblCellMar>
            <w:top w:w="0" w:type="dxa"/>
            <w:left w:w="108" w:type="dxa"/>
            <w:bottom w:w="0" w:type="dxa"/>
            <w:right w:w="108" w:type="dxa"/>
          </w:tblCellMar>
        </w:tblPrEx>
        <w:tc>
          <w:tcPr>
            <w:tcW w:w="2320" w:type="dxa"/>
          </w:tcPr>
          <w:p>
            <w:pPr>
              <w:rPr>
                <w:b w:val="0"/>
                <w:bCs w:val="0"/>
              </w:rPr>
            </w:pPr>
            <w:r>
              <w:rPr>
                <w:b w:val="0"/>
                <w:bCs w:val="0"/>
              </w:rPr>
              <w:t>总装机量</w:t>
            </w:r>
          </w:p>
        </w:tc>
        <w:tc>
          <w:tcPr>
            <w:tcW w:w="2320" w:type="dxa"/>
          </w:tcPr>
          <w:p>
            <w:r>
              <w:t>50.44kW</w:t>
            </w:r>
          </w:p>
        </w:tc>
        <w:tc>
          <w:tcPr>
            <w:tcW w:w="2321" w:type="dxa"/>
          </w:tcPr>
          <w:p>
            <w:r>
              <w:t>组件安装方式</w:t>
            </w:r>
          </w:p>
        </w:tc>
        <w:tc>
          <w:tcPr>
            <w:tcW w:w="2321" w:type="dxa"/>
          </w:tcPr>
          <w:p>
            <w:r>
              <w:t>固定集成</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组件面积</w:t>
            </w:r>
          </w:p>
        </w:tc>
        <w:tc>
          <w:tcPr>
            <w:tcW w:w="2320" w:type="dxa"/>
            <w:shd w:val="clear" w:color="auto" w:fill="ECECEC" w:themeFill="accent3" w:themeFillTint="33"/>
          </w:tcPr>
          <w:p>
            <w:r>
              <w:t>318㎡</w:t>
            </w:r>
          </w:p>
        </w:tc>
        <w:tc>
          <w:tcPr>
            <w:tcW w:w="2321" w:type="dxa"/>
            <w:shd w:val="clear" w:color="auto" w:fill="ECECEC" w:themeFill="accent3" w:themeFillTint="33"/>
          </w:tcPr>
          <w:p>
            <w:r>
              <w:t>逆变器效率</w:t>
            </w:r>
          </w:p>
        </w:tc>
        <w:tc>
          <w:tcPr>
            <w:tcW w:w="2321" w:type="dxa"/>
            <w:shd w:val="clear" w:color="auto" w:fill="ECECEC" w:themeFill="accent3" w:themeFillTint="33"/>
          </w:tcPr>
          <w:p>
            <w:r>
              <w:t>96%</w:t>
            </w:r>
          </w:p>
        </w:tc>
      </w:tr>
      <w:tr>
        <w:tblPrEx>
          <w:tblCellMar>
            <w:top w:w="0" w:type="dxa"/>
            <w:left w:w="108" w:type="dxa"/>
            <w:bottom w:w="0" w:type="dxa"/>
            <w:right w:w="108" w:type="dxa"/>
          </w:tblCellMar>
        </w:tblPrEx>
        <w:tc>
          <w:tcPr>
            <w:tcW w:w="2320" w:type="dxa"/>
          </w:tcPr>
          <w:p>
            <w:pPr>
              <w:rPr>
                <w:b w:val="0"/>
                <w:bCs w:val="0"/>
              </w:rPr>
            </w:pPr>
            <w:r>
              <w:rPr>
                <w:b w:val="0"/>
                <w:bCs w:val="0"/>
              </w:rPr>
              <w:t>逆变器功率</w:t>
            </w:r>
          </w:p>
        </w:tc>
        <w:tc>
          <w:tcPr>
            <w:tcW w:w="2320" w:type="dxa"/>
          </w:tcPr>
          <w:p>
            <w:r>
              <w:t>6.75kW</w:t>
            </w:r>
          </w:p>
        </w:tc>
        <w:tc>
          <w:tcPr>
            <w:tcW w:w="2321" w:type="dxa"/>
          </w:tcPr>
          <w:p>
            <w:r>
              <w:t>线路损耗效率</w:t>
            </w:r>
          </w:p>
        </w:tc>
        <w:tc>
          <w:tcPr>
            <w:tcW w:w="2321" w:type="dxa"/>
          </w:tcPr>
          <w:p>
            <w:r>
              <w:t>1%</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材料表面污染效率</w:t>
            </w:r>
          </w:p>
        </w:tc>
        <w:tc>
          <w:tcPr>
            <w:tcW w:w="2320" w:type="dxa"/>
            <w:shd w:val="clear" w:color="auto" w:fill="ECECEC" w:themeFill="accent3" w:themeFillTint="33"/>
          </w:tcPr>
          <w:p>
            <w:r>
              <w:t>1%</w:t>
            </w:r>
          </w:p>
        </w:tc>
        <w:tc>
          <w:tcPr>
            <w:tcW w:w="2321" w:type="dxa"/>
            <w:shd w:val="clear" w:color="auto" w:fill="ECECEC" w:themeFill="accent3" w:themeFillTint="33"/>
          </w:tcPr>
          <w:p>
            <w:r>
              <w:t>修正系数</w:t>
            </w:r>
          </w:p>
        </w:tc>
        <w:tc>
          <w:tcPr>
            <w:tcW w:w="2321" w:type="dxa"/>
            <w:shd w:val="clear" w:color="auto" w:fill="ECECEC" w:themeFill="accent3" w:themeFillTint="33"/>
          </w:tcPr>
          <w:p>
            <w:r>
              <w:t>1%</w:t>
            </w:r>
          </w:p>
        </w:tc>
      </w:tr>
      <w:tr>
        <w:tblPrEx>
          <w:tblCellMar>
            <w:top w:w="0" w:type="dxa"/>
            <w:left w:w="108" w:type="dxa"/>
            <w:bottom w:w="0" w:type="dxa"/>
            <w:right w:w="108" w:type="dxa"/>
          </w:tblCellMar>
        </w:tblPrEx>
        <w:trPr>
          <w:trHeight w:val="680" w:hRule="atLeast"/>
        </w:trPr>
        <w:tc>
          <w:tcPr>
            <w:tcW w:w="2320" w:type="dxa"/>
            <w:vAlign w:val="center"/>
          </w:tcPr>
          <w:p>
            <w:pPr>
              <w:jc w:val="both"/>
              <w:rPr>
                <w:b/>
                <w:bCs/>
              </w:rPr>
            </w:pPr>
            <w:r>
              <w:rPr>
                <w:b/>
                <w:bCs/>
                <w:sz w:val="24"/>
              </w:rPr>
              <w:t>系统综合效率</w:t>
            </w:r>
          </w:p>
        </w:tc>
        <w:tc>
          <w:tcPr>
            <w:tcW w:w="6962" w:type="dxa"/>
            <w:gridSpan w:val="3"/>
            <w:shd w:val="clear" w:color="auto" w:fill="E65100"/>
            <w:vAlign w:val="center"/>
          </w:tcPr>
          <w:p>
            <w:pPr>
              <w:jc w:val="center"/>
              <w:rPr>
                <w:b/>
                <w:color w:val="FFFFFF" w:themeColor="background1"/>
                <w:sz w:val="24"/>
                <w:szCs w:val="36"/>
                <w14:textFill>
                  <w14:solidFill>
                    <w14:schemeClr w14:val="bg1"/>
                  </w14:solidFill>
                </w14:textFill>
              </w:rPr>
            </w:pPr>
            <w:r>
              <w:rPr>
                <w:b/>
                <w:color w:val="FFFFFF" w:themeColor="background1"/>
                <w:sz w:val="24"/>
                <w:szCs w:val="36"/>
                <w14:textFill>
                  <w14:solidFill>
                    <w14:schemeClr w14:val="bg1"/>
                  </w14:solidFill>
                </w14:textFill>
              </w:rPr>
              <w:t>80.9%</w:t>
            </w:r>
          </w:p>
        </w:tc>
      </w:tr>
      <w:bookmarkEnd w:id="59"/>
    </w:tbl>
    <w:p>
      <w:pPr>
        <w:jc w:val="center"/>
      </w:pPr>
    </w:p>
    <w:p>
      <w:pPr>
        <w:pStyle w:val="4"/>
      </w:pPr>
      <w:bookmarkStart w:id="60" w:name="_Toc134261602"/>
      <w:r>
        <w:rPr>
          <w:rFonts w:hint="eastAsia"/>
        </w:rPr>
        <w:t>发电量计算</w:t>
      </w:r>
      <w:bookmarkEnd w:id="60"/>
    </w:p>
    <w:p>
      <w:pPr>
        <w:pStyle w:val="3"/>
        <w:ind w:firstLine="480" w:firstLineChars="200"/>
        <w:rPr>
          <w:lang w:val="en-US"/>
        </w:rPr>
      </w:pPr>
      <w:r>
        <w:rPr>
          <w:rFonts w:hint="eastAsia"/>
          <w:lang w:val="en-US"/>
        </w:rPr>
        <w:t>本项目在确定光伏系统计算参数取值后，考虑周围建筑物遮挡遮挡等影响进行全年逐时计算，可求得光伏系统首年发电量以及生命周期内发电量总值。</w:t>
      </w:r>
    </w:p>
    <w:p>
      <w:pPr>
        <w:pStyle w:val="5"/>
      </w:pPr>
      <w:bookmarkStart w:id="61" w:name="_Toc134261603"/>
      <w:r>
        <w:rPr>
          <w:rFonts w:hint="eastAsia"/>
        </w:rPr>
        <w:t>首年发电量</w:t>
      </w:r>
      <w:bookmarkEnd w:id="61"/>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8</w:t>
      </w:r>
      <w:r>
        <w:fldChar w:fldCharType="end"/>
      </w:r>
      <w:r>
        <w:rPr>
          <w:rFonts w:hint="eastAsia" w:ascii="黑体" w:hAnsi="黑体" w:cs="宋体"/>
          <w:bCs/>
          <w:color w:val="000000"/>
          <w:szCs w:val="18"/>
          <w:lang w:val="en-US"/>
        </w:rPr>
        <w:t>首年发电量</w:t>
      </w:r>
    </w:p>
    <w:tbl>
      <w:tblPr>
        <w:tblStyle w:val="72"/>
        <w:tblW w:w="9072" w:type="dxa"/>
        <w:tblInd w:w="0" w:type="dxa"/>
        <w:tblLayout w:type="fixed"/>
        <w:tblCellMar>
          <w:top w:w="0" w:type="dxa"/>
          <w:left w:w="108" w:type="dxa"/>
          <w:bottom w:w="0" w:type="dxa"/>
          <w:right w:w="108" w:type="dxa"/>
        </w:tblCellMar>
      </w:tblPr>
      <w:tblGrid>
        <w:gridCol w:w="1583"/>
        <w:gridCol w:w="2831"/>
        <w:gridCol w:w="2434"/>
        <w:gridCol w:w="2224"/>
      </w:tblGrid>
      <w:tr>
        <w:tblPrEx>
          <w:tblCellMar>
            <w:top w:w="0" w:type="dxa"/>
            <w:left w:w="108" w:type="dxa"/>
            <w:bottom w:w="0" w:type="dxa"/>
            <w:right w:w="108" w:type="dxa"/>
          </w:tblCellMar>
        </w:tblPrEx>
        <w:tc>
          <w:tcPr>
            <w:tcW w:w="1583"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bookmarkStart w:id="62" w:name="初始阶段光伏发电产量表" w:colFirst="0" w:colLast="2"/>
            <w:r>
              <w:rPr>
                <w:b/>
                <w:bCs/>
                <w:color w:val="FFFFFF" w:themeColor="background1"/>
                <w:szCs w:val="21"/>
                <w14:textFill>
                  <w14:solidFill>
                    <w14:schemeClr w14:val="bg1"/>
                  </w14:solidFill>
                </w14:textFill>
              </w:rPr>
              <w:t>月</w:t>
            </w:r>
            <w:r>
              <w:rPr>
                <w:rFonts w:hint="eastAsia"/>
                <w:b/>
                <w:bCs/>
                <w:color w:val="FFFFFF" w:themeColor="background1"/>
                <w:szCs w:val="21"/>
                <w14:textFill>
                  <w14:solidFill>
                    <w14:schemeClr w14:val="bg1"/>
                  </w14:solidFill>
                </w14:textFill>
              </w:rPr>
              <w:t>份</w:t>
            </w:r>
          </w:p>
        </w:tc>
        <w:tc>
          <w:tcPr>
            <w:tcW w:w="2831"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太阳能总辐照量</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kWh/㎡</w:t>
            </w:r>
          </w:p>
        </w:tc>
        <w:tc>
          <w:tcPr>
            <w:tcW w:w="2434"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交流发电量MWh</w:t>
            </w:r>
          </w:p>
        </w:tc>
        <w:tc>
          <w:tcPr>
            <w:tcW w:w="2224"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占全年百分比%</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1月</w:t>
            </w:r>
          </w:p>
        </w:tc>
        <w:tc>
          <w:tcPr>
            <w:tcW w:w="2831" w:type="dxa"/>
            <w:shd w:val="clear" w:color="auto" w:fill="ECECEC" w:themeFill="accent3" w:themeFillTint="33"/>
          </w:tcPr>
          <w:p>
            <w:pPr>
              <w:jc w:val="center"/>
              <w:rPr>
                <w:szCs w:val="21"/>
              </w:rPr>
            </w:pPr>
            <w:r>
              <w:rPr>
                <w:szCs w:val="21"/>
              </w:rPr>
              <w:t>52.2</w:t>
            </w:r>
          </w:p>
        </w:tc>
        <w:tc>
          <w:tcPr>
            <w:tcW w:w="2434" w:type="dxa"/>
            <w:shd w:val="clear" w:color="auto" w:fill="ECECEC" w:themeFill="accent3" w:themeFillTint="33"/>
          </w:tcPr>
          <w:p>
            <w:pPr>
              <w:jc w:val="center"/>
              <w:rPr>
                <w:szCs w:val="21"/>
              </w:rPr>
            </w:pPr>
            <w:r>
              <w:rPr>
                <w:szCs w:val="21"/>
              </w:rPr>
              <w:t>2.35</w:t>
            </w:r>
          </w:p>
        </w:tc>
        <w:tc>
          <w:tcPr>
            <w:tcW w:w="2224" w:type="dxa"/>
            <w:shd w:val="clear" w:color="auto" w:fill="ECECEC" w:themeFill="accent3" w:themeFillTint="33"/>
          </w:tcPr>
          <w:p>
            <w:pPr>
              <w:jc w:val="center"/>
              <w:rPr>
                <w:szCs w:val="21"/>
              </w:rPr>
            </w:pPr>
            <w:r>
              <w:rPr>
                <w:szCs w:val="21"/>
              </w:rPr>
              <w:t>5.7</w:t>
            </w:r>
          </w:p>
        </w:tc>
      </w:tr>
      <w:tr>
        <w:tblPrEx>
          <w:tblCellMar>
            <w:top w:w="0" w:type="dxa"/>
            <w:left w:w="108" w:type="dxa"/>
            <w:bottom w:w="0" w:type="dxa"/>
            <w:right w:w="108" w:type="dxa"/>
          </w:tblCellMar>
        </w:tblPrEx>
        <w:tc>
          <w:tcPr>
            <w:tcW w:w="1583" w:type="dxa"/>
          </w:tcPr>
          <w:p>
            <w:pPr>
              <w:jc w:val="center"/>
              <w:rPr>
                <w:b/>
                <w:bCs/>
                <w:szCs w:val="21"/>
              </w:rPr>
            </w:pPr>
            <w:r>
              <w:rPr>
                <w:b/>
                <w:bCs/>
                <w:szCs w:val="21"/>
              </w:rPr>
              <w:t>2月</w:t>
            </w:r>
          </w:p>
        </w:tc>
        <w:tc>
          <w:tcPr>
            <w:tcW w:w="2831" w:type="dxa"/>
          </w:tcPr>
          <w:p>
            <w:pPr>
              <w:jc w:val="center"/>
              <w:rPr>
                <w:szCs w:val="21"/>
              </w:rPr>
            </w:pPr>
            <w:r>
              <w:rPr>
                <w:szCs w:val="21"/>
              </w:rPr>
              <w:t>60.4</w:t>
            </w:r>
          </w:p>
        </w:tc>
        <w:tc>
          <w:tcPr>
            <w:tcW w:w="2434" w:type="dxa"/>
          </w:tcPr>
          <w:p>
            <w:pPr>
              <w:jc w:val="center"/>
              <w:rPr>
                <w:szCs w:val="21"/>
              </w:rPr>
            </w:pPr>
            <w:r>
              <w:rPr>
                <w:szCs w:val="21"/>
              </w:rPr>
              <w:t>2.68</w:t>
            </w:r>
          </w:p>
        </w:tc>
        <w:tc>
          <w:tcPr>
            <w:tcW w:w="2224" w:type="dxa"/>
          </w:tcPr>
          <w:p>
            <w:pPr>
              <w:jc w:val="center"/>
              <w:rPr>
                <w:szCs w:val="21"/>
              </w:rPr>
            </w:pPr>
            <w:r>
              <w:rPr>
                <w:szCs w:val="21"/>
              </w:rPr>
              <w:t>6.5</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3月</w:t>
            </w:r>
          </w:p>
        </w:tc>
        <w:tc>
          <w:tcPr>
            <w:tcW w:w="2831" w:type="dxa"/>
            <w:shd w:val="clear" w:color="auto" w:fill="ECECEC" w:themeFill="accent3" w:themeFillTint="33"/>
          </w:tcPr>
          <w:p>
            <w:pPr>
              <w:jc w:val="center"/>
              <w:rPr>
                <w:szCs w:val="21"/>
              </w:rPr>
            </w:pPr>
            <w:r>
              <w:rPr>
                <w:szCs w:val="21"/>
              </w:rPr>
              <w:t>93.2</w:t>
            </w:r>
          </w:p>
        </w:tc>
        <w:tc>
          <w:tcPr>
            <w:tcW w:w="2434" w:type="dxa"/>
            <w:shd w:val="clear" w:color="auto" w:fill="ECECEC" w:themeFill="accent3" w:themeFillTint="33"/>
          </w:tcPr>
          <w:p>
            <w:pPr>
              <w:jc w:val="center"/>
              <w:rPr>
                <w:szCs w:val="21"/>
              </w:rPr>
            </w:pPr>
            <w:r>
              <w:rPr>
                <w:szCs w:val="21"/>
              </w:rPr>
              <w:t>3.98</w:t>
            </w:r>
          </w:p>
        </w:tc>
        <w:tc>
          <w:tcPr>
            <w:tcW w:w="2224" w:type="dxa"/>
            <w:shd w:val="clear" w:color="auto" w:fill="ECECEC" w:themeFill="accent3" w:themeFillTint="33"/>
          </w:tcPr>
          <w:p>
            <w:pPr>
              <w:jc w:val="center"/>
              <w:rPr>
                <w:szCs w:val="21"/>
              </w:rPr>
            </w:pPr>
            <w:r>
              <w:rPr>
                <w:szCs w:val="21"/>
              </w:rPr>
              <w:t>9.6</w:t>
            </w:r>
          </w:p>
        </w:tc>
      </w:tr>
      <w:tr>
        <w:tblPrEx>
          <w:tblCellMar>
            <w:top w:w="0" w:type="dxa"/>
            <w:left w:w="108" w:type="dxa"/>
            <w:bottom w:w="0" w:type="dxa"/>
            <w:right w:w="108" w:type="dxa"/>
          </w:tblCellMar>
        </w:tblPrEx>
        <w:tc>
          <w:tcPr>
            <w:tcW w:w="1583" w:type="dxa"/>
          </w:tcPr>
          <w:p>
            <w:pPr>
              <w:jc w:val="center"/>
              <w:rPr>
                <w:b/>
                <w:bCs/>
                <w:szCs w:val="21"/>
              </w:rPr>
            </w:pPr>
            <w:r>
              <w:rPr>
                <w:b/>
                <w:bCs/>
                <w:szCs w:val="21"/>
              </w:rPr>
              <w:t>4月</w:t>
            </w:r>
          </w:p>
        </w:tc>
        <w:tc>
          <w:tcPr>
            <w:tcW w:w="2831" w:type="dxa"/>
          </w:tcPr>
          <w:p>
            <w:pPr>
              <w:jc w:val="center"/>
              <w:rPr>
                <w:szCs w:val="21"/>
              </w:rPr>
            </w:pPr>
            <w:r>
              <w:rPr>
                <w:szCs w:val="21"/>
              </w:rPr>
              <w:t>100.4</w:t>
            </w:r>
          </w:p>
        </w:tc>
        <w:tc>
          <w:tcPr>
            <w:tcW w:w="2434" w:type="dxa"/>
          </w:tcPr>
          <w:p>
            <w:pPr>
              <w:jc w:val="center"/>
              <w:rPr>
                <w:szCs w:val="21"/>
              </w:rPr>
            </w:pPr>
            <w:r>
              <w:rPr>
                <w:szCs w:val="21"/>
              </w:rPr>
              <w:t>4.14</w:t>
            </w:r>
          </w:p>
        </w:tc>
        <w:tc>
          <w:tcPr>
            <w:tcW w:w="2224" w:type="dxa"/>
          </w:tcPr>
          <w:p>
            <w:pPr>
              <w:jc w:val="center"/>
              <w:rPr>
                <w:szCs w:val="21"/>
              </w:rPr>
            </w:pPr>
            <w:r>
              <w:rPr>
                <w:szCs w:val="21"/>
              </w:rPr>
              <w:t>10.0</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5月</w:t>
            </w:r>
          </w:p>
        </w:tc>
        <w:tc>
          <w:tcPr>
            <w:tcW w:w="2831" w:type="dxa"/>
            <w:shd w:val="clear" w:color="auto" w:fill="ECECEC" w:themeFill="accent3" w:themeFillTint="33"/>
          </w:tcPr>
          <w:p>
            <w:pPr>
              <w:jc w:val="center"/>
              <w:rPr>
                <w:szCs w:val="21"/>
              </w:rPr>
            </w:pPr>
            <w:r>
              <w:rPr>
                <w:szCs w:val="21"/>
              </w:rPr>
              <w:t>117.6</w:t>
            </w:r>
          </w:p>
        </w:tc>
        <w:tc>
          <w:tcPr>
            <w:tcW w:w="2434" w:type="dxa"/>
            <w:shd w:val="clear" w:color="auto" w:fill="ECECEC" w:themeFill="accent3" w:themeFillTint="33"/>
          </w:tcPr>
          <w:p>
            <w:pPr>
              <w:jc w:val="center"/>
              <w:rPr>
                <w:szCs w:val="21"/>
              </w:rPr>
            </w:pPr>
            <w:r>
              <w:rPr>
                <w:szCs w:val="21"/>
              </w:rPr>
              <w:t>4.69</w:t>
            </w:r>
          </w:p>
        </w:tc>
        <w:tc>
          <w:tcPr>
            <w:tcW w:w="2224" w:type="dxa"/>
            <w:shd w:val="clear" w:color="auto" w:fill="ECECEC" w:themeFill="accent3" w:themeFillTint="33"/>
          </w:tcPr>
          <w:p>
            <w:pPr>
              <w:jc w:val="center"/>
              <w:rPr>
                <w:szCs w:val="21"/>
              </w:rPr>
            </w:pPr>
            <w:r>
              <w:rPr>
                <w:szCs w:val="21"/>
              </w:rPr>
              <w:t>11.3</w:t>
            </w:r>
          </w:p>
        </w:tc>
      </w:tr>
      <w:tr>
        <w:tblPrEx>
          <w:tblCellMar>
            <w:top w:w="0" w:type="dxa"/>
            <w:left w:w="108" w:type="dxa"/>
            <w:bottom w:w="0" w:type="dxa"/>
            <w:right w:w="108" w:type="dxa"/>
          </w:tblCellMar>
        </w:tblPrEx>
        <w:tc>
          <w:tcPr>
            <w:tcW w:w="1583" w:type="dxa"/>
          </w:tcPr>
          <w:p>
            <w:pPr>
              <w:jc w:val="center"/>
              <w:rPr>
                <w:b/>
                <w:bCs/>
                <w:szCs w:val="21"/>
              </w:rPr>
            </w:pPr>
            <w:r>
              <w:rPr>
                <w:b/>
                <w:bCs/>
                <w:szCs w:val="21"/>
              </w:rPr>
              <w:t>6月</w:t>
            </w:r>
          </w:p>
        </w:tc>
        <w:tc>
          <w:tcPr>
            <w:tcW w:w="2831" w:type="dxa"/>
          </w:tcPr>
          <w:p>
            <w:pPr>
              <w:jc w:val="center"/>
              <w:rPr>
                <w:szCs w:val="21"/>
              </w:rPr>
            </w:pPr>
            <w:r>
              <w:rPr>
                <w:szCs w:val="21"/>
              </w:rPr>
              <w:t>106.1</w:t>
            </w:r>
          </w:p>
        </w:tc>
        <w:tc>
          <w:tcPr>
            <w:tcW w:w="2434" w:type="dxa"/>
          </w:tcPr>
          <w:p>
            <w:pPr>
              <w:jc w:val="center"/>
              <w:rPr>
                <w:szCs w:val="21"/>
              </w:rPr>
            </w:pPr>
            <w:r>
              <w:rPr>
                <w:szCs w:val="21"/>
              </w:rPr>
              <w:t>4.13</w:t>
            </w:r>
          </w:p>
        </w:tc>
        <w:tc>
          <w:tcPr>
            <w:tcW w:w="2224" w:type="dxa"/>
          </w:tcPr>
          <w:p>
            <w:pPr>
              <w:jc w:val="center"/>
              <w:rPr>
                <w:szCs w:val="21"/>
              </w:rPr>
            </w:pPr>
            <w:r>
              <w:rPr>
                <w:szCs w:val="21"/>
              </w:rPr>
              <w:t>10.0</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7月</w:t>
            </w:r>
          </w:p>
        </w:tc>
        <w:tc>
          <w:tcPr>
            <w:tcW w:w="2831" w:type="dxa"/>
            <w:shd w:val="clear" w:color="auto" w:fill="ECECEC" w:themeFill="accent3" w:themeFillTint="33"/>
          </w:tcPr>
          <w:p>
            <w:pPr>
              <w:jc w:val="center"/>
              <w:rPr>
                <w:szCs w:val="21"/>
              </w:rPr>
            </w:pPr>
            <w:r>
              <w:rPr>
                <w:szCs w:val="21"/>
              </w:rPr>
              <w:t>122.0</w:t>
            </w:r>
          </w:p>
        </w:tc>
        <w:tc>
          <w:tcPr>
            <w:tcW w:w="2434" w:type="dxa"/>
            <w:shd w:val="clear" w:color="auto" w:fill="ECECEC" w:themeFill="accent3" w:themeFillTint="33"/>
          </w:tcPr>
          <w:p>
            <w:pPr>
              <w:jc w:val="center"/>
              <w:rPr>
                <w:szCs w:val="21"/>
              </w:rPr>
            </w:pPr>
            <w:r>
              <w:rPr>
                <w:szCs w:val="21"/>
              </w:rPr>
              <w:t>4.71</w:t>
            </w:r>
          </w:p>
        </w:tc>
        <w:tc>
          <w:tcPr>
            <w:tcW w:w="2224" w:type="dxa"/>
            <w:shd w:val="clear" w:color="auto" w:fill="ECECEC" w:themeFill="accent3" w:themeFillTint="33"/>
          </w:tcPr>
          <w:p>
            <w:pPr>
              <w:jc w:val="center"/>
              <w:rPr>
                <w:szCs w:val="21"/>
              </w:rPr>
            </w:pPr>
            <w:r>
              <w:rPr>
                <w:szCs w:val="21"/>
              </w:rPr>
              <w:t>11.4</w:t>
            </w:r>
          </w:p>
        </w:tc>
      </w:tr>
      <w:tr>
        <w:tblPrEx>
          <w:tblCellMar>
            <w:top w:w="0" w:type="dxa"/>
            <w:left w:w="108" w:type="dxa"/>
            <w:bottom w:w="0" w:type="dxa"/>
            <w:right w:w="108" w:type="dxa"/>
          </w:tblCellMar>
        </w:tblPrEx>
        <w:tc>
          <w:tcPr>
            <w:tcW w:w="1583" w:type="dxa"/>
          </w:tcPr>
          <w:p>
            <w:pPr>
              <w:jc w:val="center"/>
              <w:rPr>
                <w:b/>
                <w:bCs/>
                <w:szCs w:val="21"/>
              </w:rPr>
            </w:pPr>
            <w:r>
              <w:rPr>
                <w:b/>
                <w:bCs/>
                <w:szCs w:val="21"/>
              </w:rPr>
              <w:t>8月</w:t>
            </w:r>
          </w:p>
        </w:tc>
        <w:tc>
          <w:tcPr>
            <w:tcW w:w="2831" w:type="dxa"/>
          </w:tcPr>
          <w:p>
            <w:pPr>
              <w:jc w:val="center"/>
              <w:rPr>
                <w:szCs w:val="21"/>
              </w:rPr>
            </w:pPr>
            <w:r>
              <w:rPr>
                <w:szCs w:val="21"/>
              </w:rPr>
              <w:t>132.3</w:t>
            </w:r>
          </w:p>
        </w:tc>
        <w:tc>
          <w:tcPr>
            <w:tcW w:w="2434" w:type="dxa"/>
          </w:tcPr>
          <w:p>
            <w:pPr>
              <w:jc w:val="center"/>
              <w:rPr>
                <w:szCs w:val="21"/>
              </w:rPr>
            </w:pPr>
            <w:r>
              <w:rPr>
                <w:szCs w:val="21"/>
              </w:rPr>
              <w:t>5.13</w:t>
            </w:r>
          </w:p>
        </w:tc>
        <w:tc>
          <w:tcPr>
            <w:tcW w:w="2224" w:type="dxa"/>
          </w:tcPr>
          <w:p>
            <w:pPr>
              <w:jc w:val="center"/>
              <w:rPr>
                <w:szCs w:val="21"/>
              </w:rPr>
            </w:pPr>
            <w:r>
              <w:rPr>
                <w:szCs w:val="21"/>
              </w:rPr>
              <w:t>12.4</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9月</w:t>
            </w:r>
          </w:p>
        </w:tc>
        <w:tc>
          <w:tcPr>
            <w:tcW w:w="2831" w:type="dxa"/>
            <w:shd w:val="clear" w:color="auto" w:fill="ECECEC" w:themeFill="accent3" w:themeFillTint="33"/>
          </w:tcPr>
          <w:p>
            <w:pPr>
              <w:jc w:val="center"/>
              <w:rPr>
                <w:szCs w:val="21"/>
              </w:rPr>
            </w:pPr>
            <w:r>
              <w:rPr>
                <w:szCs w:val="21"/>
              </w:rPr>
              <w:t>75.8</w:t>
            </w:r>
          </w:p>
        </w:tc>
        <w:tc>
          <w:tcPr>
            <w:tcW w:w="2434" w:type="dxa"/>
            <w:shd w:val="clear" w:color="auto" w:fill="ECECEC" w:themeFill="accent3" w:themeFillTint="33"/>
          </w:tcPr>
          <w:p>
            <w:pPr>
              <w:jc w:val="center"/>
              <w:rPr>
                <w:szCs w:val="21"/>
              </w:rPr>
            </w:pPr>
            <w:r>
              <w:rPr>
                <w:szCs w:val="21"/>
              </w:rPr>
              <w:t>3.02</w:t>
            </w:r>
          </w:p>
        </w:tc>
        <w:tc>
          <w:tcPr>
            <w:tcW w:w="2224" w:type="dxa"/>
            <w:shd w:val="clear" w:color="auto" w:fill="ECECEC" w:themeFill="accent3" w:themeFillTint="33"/>
          </w:tcPr>
          <w:p>
            <w:pPr>
              <w:jc w:val="center"/>
              <w:rPr>
                <w:szCs w:val="21"/>
              </w:rPr>
            </w:pPr>
            <w:r>
              <w:rPr>
                <w:szCs w:val="21"/>
              </w:rPr>
              <w:t>7.3</w:t>
            </w:r>
          </w:p>
        </w:tc>
      </w:tr>
      <w:tr>
        <w:tblPrEx>
          <w:tblCellMar>
            <w:top w:w="0" w:type="dxa"/>
            <w:left w:w="108" w:type="dxa"/>
            <w:bottom w:w="0" w:type="dxa"/>
            <w:right w:w="108" w:type="dxa"/>
          </w:tblCellMar>
        </w:tblPrEx>
        <w:tc>
          <w:tcPr>
            <w:tcW w:w="1583" w:type="dxa"/>
          </w:tcPr>
          <w:p>
            <w:pPr>
              <w:jc w:val="center"/>
              <w:rPr>
                <w:b/>
                <w:bCs/>
                <w:szCs w:val="21"/>
              </w:rPr>
            </w:pPr>
            <w:r>
              <w:rPr>
                <w:b/>
                <w:bCs/>
                <w:szCs w:val="21"/>
              </w:rPr>
              <w:t>10月</w:t>
            </w:r>
          </w:p>
        </w:tc>
        <w:tc>
          <w:tcPr>
            <w:tcW w:w="2831" w:type="dxa"/>
          </w:tcPr>
          <w:p>
            <w:pPr>
              <w:jc w:val="center"/>
              <w:rPr>
                <w:szCs w:val="21"/>
              </w:rPr>
            </w:pPr>
            <w:r>
              <w:rPr>
                <w:szCs w:val="21"/>
              </w:rPr>
              <w:t>68.8</w:t>
            </w:r>
          </w:p>
        </w:tc>
        <w:tc>
          <w:tcPr>
            <w:tcW w:w="2434" w:type="dxa"/>
          </w:tcPr>
          <w:p>
            <w:pPr>
              <w:jc w:val="center"/>
              <w:rPr>
                <w:szCs w:val="21"/>
              </w:rPr>
            </w:pPr>
            <w:r>
              <w:rPr>
                <w:szCs w:val="21"/>
              </w:rPr>
              <w:t>2.83</w:t>
            </w:r>
          </w:p>
        </w:tc>
        <w:tc>
          <w:tcPr>
            <w:tcW w:w="2224" w:type="dxa"/>
          </w:tcPr>
          <w:p>
            <w:pPr>
              <w:jc w:val="center"/>
              <w:rPr>
                <w:szCs w:val="21"/>
              </w:rPr>
            </w:pPr>
            <w:r>
              <w:rPr>
                <w:szCs w:val="21"/>
              </w:rPr>
              <w:t>6.8</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11月</w:t>
            </w:r>
          </w:p>
        </w:tc>
        <w:tc>
          <w:tcPr>
            <w:tcW w:w="2831" w:type="dxa"/>
            <w:shd w:val="clear" w:color="auto" w:fill="ECECEC" w:themeFill="accent3" w:themeFillTint="33"/>
          </w:tcPr>
          <w:p>
            <w:pPr>
              <w:jc w:val="center"/>
              <w:rPr>
                <w:szCs w:val="21"/>
              </w:rPr>
            </w:pPr>
            <w:r>
              <w:rPr>
                <w:szCs w:val="21"/>
              </w:rPr>
              <w:t>47.8</w:t>
            </w:r>
          </w:p>
        </w:tc>
        <w:tc>
          <w:tcPr>
            <w:tcW w:w="2434" w:type="dxa"/>
            <w:shd w:val="clear" w:color="auto" w:fill="ECECEC" w:themeFill="accent3" w:themeFillTint="33"/>
          </w:tcPr>
          <w:p>
            <w:pPr>
              <w:jc w:val="center"/>
              <w:rPr>
                <w:szCs w:val="21"/>
              </w:rPr>
            </w:pPr>
            <w:r>
              <w:rPr>
                <w:szCs w:val="21"/>
              </w:rPr>
              <w:t>2.05</w:t>
            </w:r>
          </w:p>
        </w:tc>
        <w:tc>
          <w:tcPr>
            <w:tcW w:w="2224" w:type="dxa"/>
            <w:shd w:val="clear" w:color="auto" w:fill="ECECEC" w:themeFill="accent3" w:themeFillTint="33"/>
          </w:tcPr>
          <w:p>
            <w:pPr>
              <w:jc w:val="center"/>
              <w:rPr>
                <w:szCs w:val="21"/>
              </w:rPr>
            </w:pPr>
            <w:r>
              <w:rPr>
                <w:szCs w:val="21"/>
              </w:rPr>
              <w:t>4.9</w:t>
            </w:r>
          </w:p>
        </w:tc>
      </w:tr>
      <w:tr>
        <w:tc>
          <w:tcPr>
            <w:tcW w:w="1583" w:type="dxa"/>
          </w:tcPr>
          <w:p>
            <w:pPr>
              <w:jc w:val="center"/>
              <w:rPr>
                <w:b/>
                <w:bCs/>
                <w:szCs w:val="21"/>
              </w:rPr>
            </w:pPr>
            <w:r>
              <w:rPr>
                <w:b/>
                <w:bCs/>
                <w:szCs w:val="21"/>
              </w:rPr>
              <w:t>12月</w:t>
            </w:r>
          </w:p>
        </w:tc>
        <w:tc>
          <w:tcPr>
            <w:tcW w:w="2831" w:type="dxa"/>
          </w:tcPr>
          <w:p>
            <w:pPr>
              <w:jc w:val="center"/>
              <w:rPr>
                <w:szCs w:val="21"/>
              </w:rPr>
            </w:pPr>
            <w:r>
              <w:rPr>
                <w:szCs w:val="21"/>
              </w:rPr>
              <w:t>38.6</w:t>
            </w:r>
          </w:p>
        </w:tc>
        <w:tc>
          <w:tcPr>
            <w:tcW w:w="2434" w:type="dxa"/>
          </w:tcPr>
          <w:p>
            <w:pPr>
              <w:jc w:val="center"/>
              <w:rPr>
                <w:szCs w:val="21"/>
              </w:rPr>
            </w:pPr>
            <w:r>
              <w:rPr>
                <w:szCs w:val="21"/>
              </w:rPr>
              <w:t>1.73</w:t>
            </w:r>
          </w:p>
        </w:tc>
        <w:tc>
          <w:tcPr>
            <w:tcW w:w="2224" w:type="dxa"/>
          </w:tcPr>
          <w:p>
            <w:pPr>
              <w:jc w:val="center"/>
              <w:rPr>
                <w:szCs w:val="21"/>
              </w:rPr>
            </w:pPr>
            <w:r>
              <w:rPr>
                <w:szCs w:val="21"/>
              </w:rPr>
              <w:t>4.2</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全年</w:t>
            </w:r>
          </w:p>
        </w:tc>
        <w:tc>
          <w:tcPr>
            <w:tcW w:w="2831" w:type="dxa"/>
            <w:shd w:val="clear" w:color="auto" w:fill="ECECEC" w:themeFill="accent3" w:themeFillTint="33"/>
          </w:tcPr>
          <w:p>
            <w:pPr>
              <w:jc w:val="center"/>
              <w:rPr>
                <w:szCs w:val="21"/>
              </w:rPr>
            </w:pPr>
            <w:r>
              <w:rPr>
                <w:szCs w:val="21"/>
              </w:rPr>
              <w:t>1015.3</w:t>
            </w:r>
          </w:p>
        </w:tc>
        <w:tc>
          <w:tcPr>
            <w:tcW w:w="2434" w:type="dxa"/>
            <w:shd w:val="clear" w:color="auto" w:fill="ECECEC" w:themeFill="accent3" w:themeFillTint="33"/>
          </w:tcPr>
          <w:p>
            <w:pPr>
              <w:jc w:val="center"/>
              <w:rPr>
                <w:szCs w:val="21"/>
              </w:rPr>
            </w:pPr>
            <w:r>
              <w:rPr>
                <w:szCs w:val="21"/>
              </w:rPr>
              <w:t>41.4312</w:t>
            </w:r>
          </w:p>
        </w:tc>
        <w:tc>
          <w:tcPr>
            <w:tcW w:w="2224" w:type="dxa"/>
            <w:shd w:val="clear" w:color="auto" w:fill="ECECEC" w:themeFill="accent3" w:themeFillTint="33"/>
          </w:tcPr>
          <w:p>
            <w:pPr>
              <w:jc w:val="center"/>
              <w:rPr>
                <w:szCs w:val="21"/>
              </w:rPr>
            </w:pPr>
            <w:r>
              <w:rPr>
                <w:szCs w:val="21"/>
              </w:rPr>
              <w:t>100</w:t>
            </w:r>
          </w:p>
        </w:tc>
      </w:tr>
      <w:tr>
        <w:tblPrEx>
          <w:tblCellMar>
            <w:top w:w="0" w:type="dxa"/>
            <w:left w:w="108" w:type="dxa"/>
            <w:bottom w:w="0" w:type="dxa"/>
            <w:right w:w="108" w:type="dxa"/>
          </w:tblCellMar>
        </w:tblPrEx>
        <w:trPr>
          <w:trHeight w:val="680" w:hRule="atLeast"/>
        </w:trPr>
        <w:tc>
          <w:tcPr>
            <w:tcW w:w="1583" w:type="dxa"/>
            <w:shd w:val="clear" w:color="auto" w:fill="FFFFFF" w:themeFill="background1"/>
            <w:vAlign w:val="center"/>
          </w:tcPr>
          <w:p>
            <w:pPr>
              <w:jc w:val="center"/>
              <w:rPr>
                <w:b w:val="0"/>
                <w:bCs/>
                <w:color w:val="FFFFFF" w:themeColor="background1"/>
                <w:sz w:val="22"/>
                <w:szCs w:val="21"/>
                <w14:textFill>
                  <w14:solidFill>
                    <w14:schemeClr w14:val="bg1"/>
                  </w14:solidFill>
                </w14:textFill>
              </w:rPr>
            </w:pPr>
            <w:r>
              <w:rPr>
                <w:b/>
                <w:bCs/>
                <w:sz w:val="24"/>
                <w:szCs w:val="21"/>
              </w:rPr>
              <w:t>年总发电量</w:t>
            </w:r>
          </w:p>
        </w:tc>
        <w:tc>
          <w:tcPr>
            <w:tcW w:w="7489" w:type="dxa"/>
            <w:gridSpan w:val="3"/>
            <w:shd w:val="clear" w:color="auto" w:fill="E65100"/>
            <w:vAlign w:val="center"/>
          </w:tcPr>
          <w:p>
            <w:pPr>
              <w:jc w:val="center"/>
              <w:rPr>
                <w:b/>
                <w:color w:val="FFFFFF" w:themeColor="background1"/>
                <w:sz w:val="22"/>
                <w:szCs w:val="21"/>
                <w14:textFill>
                  <w14:solidFill>
                    <w14:schemeClr w14:val="bg1"/>
                  </w14:solidFill>
                </w14:textFill>
              </w:rPr>
            </w:pPr>
            <w:r>
              <w:rPr>
                <w:b/>
                <w:color w:val="FFFFFF" w:themeColor="background1"/>
                <w:sz w:val="24"/>
                <w:szCs w:val="21"/>
                <w14:textFill>
                  <w14:solidFill>
                    <w14:schemeClr w14:val="bg1"/>
                  </w14:solidFill>
                </w14:textFill>
              </w:rPr>
              <w:t>41.4MWh</w:t>
            </w:r>
          </w:p>
        </w:tc>
      </w:tr>
      <w:bookmarkEnd w:id="62"/>
    </w:tbl>
    <w:p>
      <w:pPr>
        <w:pStyle w:val="3"/>
        <w:jc w:val="center"/>
      </w:pPr>
    </w:p>
    <w:p>
      <w:pPr>
        <w:pStyle w:val="3"/>
        <w:jc w:val="center"/>
      </w:pPr>
      <w:bookmarkStart w:id="63" w:name="光伏发电彩图"/>
      <w:bookmarkEnd w:id="63"/>
      <w:r>
        <w:t>请选择光伏计算结果输出[彩图输出]选项，软件会生成对应光伏发电彩图！</w:t>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9</w:t>
      </w:r>
      <w:r>
        <w:fldChar w:fldCharType="end"/>
      </w:r>
      <w:r>
        <w:rPr>
          <w:rFonts w:hint="eastAsia"/>
        </w:rPr>
        <w:t>光伏发电彩图</w:t>
      </w:r>
    </w:p>
    <w:p>
      <w:pPr>
        <w:spacing w:before="240"/>
        <w:jc w:val="center"/>
      </w:pPr>
      <w:bookmarkStart w:id="64" w:name="太阳能总辐照量图"/>
      <w:bookmarkEnd w:id="64"/>
      <w:bookmarkStart w:id="65" w:name="光伏板接收太阳能总辐照量图"/>
      <w:bookmarkEnd w:id="65"/>
      <w:r>
        <w:rPr>
          <w:lang w:val="en-US"/>
        </w:rPr>
        <w:drawing>
          <wp:inline distT="0" distB="0" distL="0" distR="0">
            <wp:extent cx="5667375" cy="35433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8"/>
                    <a:stretch>
                      <a:fillRect/>
                    </a:stretch>
                  </pic:blipFill>
                  <pic:spPr>
                    <a:xfrm>
                      <a:off x="0" y="0"/>
                      <a:ext cx="5667375" cy="3543300"/>
                    </a:xfrm>
                    <a:prstGeom prst="rect">
                      <a:avLst/>
                    </a:prstGeom>
                  </pic:spPr>
                </pic:pic>
              </a:graphicData>
            </a:graphic>
          </wp:inline>
        </w:drawing>
      </w:r>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10</w:t>
      </w:r>
      <w:r>
        <w:fldChar w:fldCharType="end"/>
      </w:r>
      <w:r>
        <w:rPr>
          <w:rFonts w:hint="eastAsia"/>
        </w:rPr>
        <w:t>光伏板接收太阳能总辐照量图</w:t>
      </w:r>
    </w:p>
    <w:p>
      <w:pPr>
        <w:spacing w:before="240"/>
        <w:jc w:val="center"/>
      </w:pPr>
      <w:bookmarkStart w:id="66" w:name="交流发电量图"/>
      <w:bookmarkEnd w:id="66"/>
      <w:r>
        <w:rPr>
          <w:lang w:val="en-US"/>
        </w:rPr>
        <w:drawing>
          <wp:inline distT="0" distB="0" distL="0" distR="0">
            <wp:extent cx="5667375" cy="34004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9"/>
                    <a:stretch>
                      <a:fillRect/>
                    </a:stretch>
                  </pic:blipFill>
                  <pic:spPr>
                    <a:xfrm>
                      <a:off x="0" y="0"/>
                      <a:ext cx="5667375" cy="3400425"/>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11</w:t>
      </w:r>
      <w:r>
        <w:fldChar w:fldCharType="end"/>
      </w:r>
      <w:r>
        <w:rPr>
          <w:rFonts w:hint="eastAsia"/>
        </w:rPr>
        <w:t>首年交流发电量图</w:t>
      </w:r>
    </w:p>
    <w:p>
      <w:pPr>
        <w:pStyle w:val="5"/>
      </w:pPr>
      <w:bookmarkStart w:id="67" w:name="_Toc134261604"/>
      <w:bookmarkStart w:id="68" w:name="_Toc127542304"/>
      <w:r>
        <w:rPr>
          <w:rFonts w:hint="eastAsia"/>
        </w:rPr>
        <w:t>全周期发电量</w:t>
      </w:r>
      <w:bookmarkEnd w:id="67"/>
      <w:bookmarkEnd w:id="68"/>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9</w:t>
      </w:r>
      <w:r>
        <w:fldChar w:fldCharType="end"/>
      </w:r>
      <w:r>
        <w:rPr>
          <w:rFonts w:hint="eastAsia" w:ascii="黑体" w:hAnsi="黑体" w:cs="宋体"/>
          <w:bCs/>
          <w:color w:val="000000"/>
          <w:szCs w:val="18"/>
          <w:lang w:val="en-US"/>
        </w:rPr>
        <w:t xml:space="preserve"> 年发电量</w:t>
      </w:r>
    </w:p>
    <w:tbl>
      <w:tblPr>
        <w:tblStyle w:val="81"/>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2268"/>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57C00"/>
            <w:vAlign w:val="center"/>
          </w:tcPr>
          <w:p>
            <w:pPr>
              <w:spacing w:line="360" w:lineRule="exact"/>
              <w:jc w:val="center"/>
              <w:rPr>
                <w:b/>
                <w:bCs/>
                <w:color w:val="FFFFFF"/>
                <w:szCs w:val="21"/>
              </w:rPr>
            </w:pPr>
            <w:bookmarkStart w:id="69" w:name="逐年发电量表" w:colFirst="0" w:colLast="4"/>
            <w:r>
              <w:rPr>
                <w:rFonts w:hint="eastAsia"/>
                <w:b/>
                <w:bCs/>
                <w:color w:val="FFFFFF"/>
                <w:szCs w:val="21"/>
              </w:rPr>
              <w:t>年</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组件衰减率（%）</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年发电量（MWh）</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发电利用小时数（h）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第1年</w:t>
            </w:r>
          </w:p>
        </w:tc>
        <w:tc>
          <w:tcPr>
            <w:tcW w:w="2268" w:type="dxa"/>
          </w:tcPr>
          <w:p>
            <w:pPr>
              <w:spacing w:line="360" w:lineRule="exact"/>
              <w:jc w:val="center"/>
              <w:rPr>
                <w:lang w:val="en-US"/>
              </w:rPr>
            </w:pPr>
            <w:r>
              <w:rPr>
                <w:lang w:val="en-US"/>
              </w:rPr>
              <w:t>5</w:t>
            </w:r>
          </w:p>
        </w:tc>
        <w:tc>
          <w:tcPr>
            <w:tcW w:w="2268" w:type="dxa"/>
          </w:tcPr>
          <w:p>
            <w:pPr>
              <w:spacing w:line="360" w:lineRule="exact"/>
              <w:jc w:val="center"/>
              <w:rPr>
                <w:lang w:val="en-US"/>
              </w:rPr>
            </w:pPr>
            <w:r>
              <w:rPr>
                <w:lang w:val="en-US"/>
              </w:rPr>
              <w:t>41.43</w:t>
            </w:r>
          </w:p>
        </w:tc>
        <w:tc>
          <w:tcPr>
            <w:tcW w:w="2268" w:type="dxa"/>
          </w:tcPr>
          <w:p>
            <w:pPr>
              <w:spacing w:line="360" w:lineRule="exact"/>
              <w:jc w:val="center"/>
              <w:rPr>
                <w:lang w:val="en-US"/>
              </w:rPr>
            </w:pPr>
            <w:r>
              <w:rPr>
                <w:lang w:val="en-US"/>
              </w:rPr>
              <w:t>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39.36</w:t>
            </w:r>
          </w:p>
        </w:tc>
        <w:tc>
          <w:tcPr>
            <w:tcW w:w="2268" w:type="dxa"/>
            <w:shd w:val="clear" w:color="auto" w:fill="F2F2F2"/>
          </w:tcPr>
          <w:p>
            <w:pPr>
              <w:spacing w:line="360" w:lineRule="exact"/>
              <w:jc w:val="center"/>
              <w:rPr>
                <w:lang w:val="en-US"/>
              </w:rPr>
            </w:pPr>
            <w:r>
              <w:rPr>
                <w:lang w:val="en-US"/>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39.08</w:t>
            </w:r>
          </w:p>
        </w:tc>
        <w:tc>
          <w:tcPr>
            <w:tcW w:w="2268" w:type="dxa"/>
          </w:tcPr>
          <w:p>
            <w:pPr>
              <w:spacing w:line="360" w:lineRule="exact"/>
              <w:jc w:val="center"/>
              <w:rPr>
                <w:lang w:val="en-US"/>
              </w:rPr>
            </w:pPr>
            <w:r>
              <w:rPr>
                <w:lang w:val="en-US"/>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38.81</w:t>
            </w:r>
          </w:p>
        </w:tc>
        <w:tc>
          <w:tcPr>
            <w:tcW w:w="2268" w:type="dxa"/>
            <w:shd w:val="clear" w:color="auto" w:fill="F2F2F2"/>
          </w:tcPr>
          <w:p>
            <w:pPr>
              <w:spacing w:line="360" w:lineRule="exact"/>
              <w:jc w:val="center"/>
              <w:rPr>
                <w:lang w:val="en-US"/>
              </w:rPr>
            </w:pPr>
            <w:r>
              <w:rPr>
                <w:lang w:val="en-US"/>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38.54</w:t>
            </w:r>
          </w:p>
        </w:tc>
        <w:tc>
          <w:tcPr>
            <w:tcW w:w="2268" w:type="dxa"/>
          </w:tcPr>
          <w:p>
            <w:pPr>
              <w:spacing w:line="360" w:lineRule="exact"/>
              <w:jc w:val="center"/>
              <w:rPr>
                <w:lang w:val="en-US"/>
              </w:rPr>
            </w:pPr>
            <w:r>
              <w:rPr>
                <w:lang w:val="en-US"/>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第6年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38.27</w:t>
            </w:r>
          </w:p>
        </w:tc>
        <w:tc>
          <w:tcPr>
            <w:tcW w:w="2268" w:type="dxa"/>
            <w:shd w:val="clear" w:color="auto" w:fill="F2F2F2"/>
          </w:tcPr>
          <w:p>
            <w:pPr>
              <w:spacing w:line="360" w:lineRule="exact"/>
              <w:jc w:val="center"/>
              <w:rPr>
                <w:lang w:val="en-US"/>
              </w:rPr>
            </w:pPr>
            <w:r>
              <w:rPr>
                <w:lang w:val="en-US"/>
              </w:rPr>
              <w:t>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第7年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38.00</w:t>
            </w:r>
          </w:p>
        </w:tc>
        <w:tc>
          <w:tcPr>
            <w:tcW w:w="2268" w:type="dxa"/>
          </w:tcPr>
          <w:p>
            <w:pPr>
              <w:spacing w:line="360" w:lineRule="exact"/>
              <w:jc w:val="center"/>
              <w:rPr>
                <w:lang w:val="en-US"/>
              </w:rPr>
            </w:pPr>
            <w:r>
              <w:rPr>
                <w:lang w:val="en-US"/>
              </w:rPr>
              <w:t>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第8年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37.74</w:t>
            </w:r>
          </w:p>
        </w:tc>
        <w:tc>
          <w:tcPr>
            <w:tcW w:w="2268" w:type="dxa"/>
            <w:shd w:val="clear" w:color="auto" w:fill="F2F2F2"/>
          </w:tcPr>
          <w:p>
            <w:pPr>
              <w:spacing w:line="360" w:lineRule="exact"/>
              <w:jc w:val="center"/>
              <w:rPr>
                <w:lang w:val="en-US"/>
              </w:rPr>
            </w:pPr>
            <w:r>
              <w:rPr>
                <w:lang w:val="en-US"/>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第9年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37.47</w:t>
            </w:r>
          </w:p>
        </w:tc>
        <w:tc>
          <w:tcPr>
            <w:tcW w:w="2268" w:type="dxa"/>
          </w:tcPr>
          <w:p>
            <w:pPr>
              <w:spacing w:line="360" w:lineRule="exact"/>
              <w:jc w:val="center"/>
              <w:rPr>
                <w:lang w:val="en-US"/>
              </w:rPr>
            </w:pPr>
            <w:r>
              <w:rPr>
                <w:lang w:val="en-US"/>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第10年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37.21</w:t>
            </w:r>
          </w:p>
        </w:tc>
        <w:tc>
          <w:tcPr>
            <w:tcW w:w="2268" w:type="dxa"/>
            <w:shd w:val="clear" w:color="auto" w:fill="F2F2F2"/>
          </w:tcPr>
          <w:p>
            <w:pPr>
              <w:spacing w:line="360" w:lineRule="exact"/>
              <w:jc w:val="center"/>
              <w:rPr>
                <w:lang w:val="en-US"/>
              </w:rPr>
            </w:pPr>
            <w:r>
              <w:rPr>
                <w:lang w:val="en-US"/>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第11年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36.95</w:t>
            </w:r>
          </w:p>
        </w:tc>
        <w:tc>
          <w:tcPr>
            <w:tcW w:w="2268" w:type="dxa"/>
          </w:tcPr>
          <w:p>
            <w:pPr>
              <w:spacing w:line="360" w:lineRule="exact"/>
              <w:jc w:val="center"/>
              <w:rPr>
                <w:lang w:val="en-US"/>
              </w:rPr>
            </w:pPr>
            <w:r>
              <w:rPr>
                <w:lang w:val="en-US"/>
              </w:rPr>
              <w:t>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36.69</w:t>
            </w:r>
          </w:p>
        </w:tc>
        <w:tc>
          <w:tcPr>
            <w:tcW w:w="2268" w:type="dxa"/>
            <w:shd w:val="clear" w:color="auto" w:fill="F2F2F2"/>
          </w:tcPr>
          <w:p>
            <w:pPr>
              <w:spacing w:line="360" w:lineRule="exact"/>
              <w:jc w:val="center"/>
              <w:rPr>
                <w:lang w:val="en-US"/>
              </w:rPr>
            </w:pPr>
            <w:r>
              <w:rPr>
                <w:lang w:val="en-US"/>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36.43</w:t>
            </w:r>
          </w:p>
        </w:tc>
        <w:tc>
          <w:tcPr>
            <w:tcW w:w="2268" w:type="dxa"/>
          </w:tcPr>
          <w:p>
            <w:pPr>
              <w:spacing w:line="360" w:lineRule="exact"/>
              <w:jc w:val="center"/>
              <w:rPr>
                <w:lang w:val="en-US"/>
              </w:rPr>
            </w:pPr>
            <w:r>
              <w:rPr>
                <w:lang w:val="en-US"/>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36.18</w:t>
            </w:r>
          </w:p>
        </w:tc>
        <w:tc>
          <w:tcPr>
            <w:tcW w:w="2268" w:type="dxa"/>
            <w:shd w:val="clear" w:color="auto" w:fill="F2F2F2"/>
          </w:tcPr>
          <w:p>
            <w:pPr>
              <w:spacing w:line="360" w:lineRule="exact"/>
              <w:jc w:val="center"/>
              <w:rPr>
                <w:lang w:val="en-US"/>
              </w:rPr>
            </w:pPr>
            <w:r>
              <w:rPr>
                <w:lang w:val="en-US"/>
              </w:rPr>
              <w:t>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35.92</w:t>
            </w:r>
          </w:p>
        </w:tc>
        <w:tc>
          <w:tcPr>
            <w:tcW w:w="2268" w:type="dxa"/>
          </w:tcPr>
          <w:p>
            <w:pPr>
              <w:spacing w:line="360" w:lineRule="exact"/>
              <w:jc w:val="center"/>
              <w:rPr>
                <w:lang w:val="en-US"/>
              </w:rPr>
            </w:pPr>
            <w:r>
              <w:rPr>
                <w:lang w:val="en-US"/>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第16年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35.67</w:t>
            </w:r>
          </w:p>
        </w:tc>
        <w:tc>
          <w:tcPr>
            <w:tcW w:w="2268" w:type="dxa"/>
            <w:shd w:val="clear" w:color="auto" w:fill="F2F2F2"/>
          </w:tcPr>
          <w:p>
            <w:pPr>
              <w:spacing w:line="360" w:lineRule="exact"/>
              <w:jc w:val="center"/>
              <w:rPr>
                <w:lang w:val="en-US"/>
              </w:rPr>
            </w:pPr>
            <w:r>
              <w:rPr>
                <w:lang w:val="en-US"/>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第17年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35.42</w:t>
            </w:r>
          </w:p>
        </w:tc>
        <w:tc>
          <w:tcPr>
            <w:tcW w:w="2268" w:type="dxa"/>
          </w:tcPr>
          <w:p>
            <w:pPr>
              <w:spacing w:line="360" w:lineRule="exact"/>
              <w:jc w:val="center"/>
              <w:rPr>
                <w:lang w:val="en-US"/>
              </w:rPr>
            </w:pPr>
            <w:r>
              <w:rPr>
                <w:lang w:val="en-US"/>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第18年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35.18</w:t>
            </w:r>
          </w:p>
        </w:tc>
        <w:tc>
          <w:tcPr>
            <w:tcW w:w="2268" w:type="dxa"/>
            <w:shd w:val="clear" w:color="auto" w:fill="F2F2F2"/>
          </w:tcPr>
          <w:p>
            <w:pPr>
              <w:spacing w:line="360" w:lineRule="exact"/>
              <w:jc w:val="center"/>
              <w:rPr>
                <w:lang w:val="en-US"/>
              </w:rPr>
            </w:pPr>
            <w:r>
              <w:rPr>
                <w:lang w:val="en-US"/>
              </w:rPr>
              <w:t>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第19年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34.93</w:t>
            </w:r>
          </w:p>
        </w:tc>
        <w:tc>
          <w:tcPr>
            <w:tcW w:w="2268" w:type="dxa"/>
          </w:tcPr>
          <w:p>
            <w:pPr>
              <w:spacing w:line="360" w:lineRule="exact"/>
              <w:jc w:val="center"/>
              <w:rPr>
                <w:lang w:val="en-US"/>
              </w:rPr>
            </w:pPr>
            <w:r>
              <w:rPr>
                <w:lang w:val="en-US"/>
              </w:rPr>
              <w:t>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第20年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34.68</w:t>
            </w:r>
          </w:p>
        </w:tc>
        <w:tc>
          <w:tcPr>
            <w:tcW w:w="2268" w:type="dxa"/>
            <w:shd w:val="clear" w:color="auto" w:fill="F2F2F2"/>
          </w:tcPr>
          <w:p>
            <w:pPr>
              <w:spacing w:line="360" w:lineRule="exact"/>
              <w:jc w:val="center"/>
              <w:rPr>
                <w:lang w:val="en-US"/>
              </w:rPr>
            </w:pPr>
            <w:r>
              <w:rPr>
                <w:lang w:val="en-US"/>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第21年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34.44</w:t>
            </w:r>
          </w:p>
        </w:tc>
        <w:tc>
          <w:tcPr>
            <w:tcW w:w="2268" w:type="dxa"/>
          </w:tcPr>
          <w:p>
            <w:pPr>
              <w:spacing w:line="360" w:lineRule="exact"/>
              <w:jc w:val="center"/>
              <w:rPr>
                <w:lang w:val="en-US"/>
              </w:rPr>
            </w:pPr>
            <w:r>
              <w:rPr>
                <w:lang w:val="en-US"/>
              </w:rPr>
              <w:t>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34.20</w:t>
            </w:r>
          </w:p>
        </w:tc>
        <w:tc>
          <w:tcPr>
            <w:tcW w:w="2268" w:type="dxa"/>
            <w:shd w:val="clear" w:color="auto" w:fill="F2F2F2"/>
          </w:tcPr>
          <w:p>
            <w:pPr>
              <w:spacing w:line="360" w:lineRule="exact"/>
              <w:jc w:val="center"/>
              <w:rPr>
                <w:lang w:val="en-US"/>
              </w:rPr>
            </w:pPr>
            <w:r>
              <w:rPr>
                <w:lang w:val="en-US"/>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33.96</w:t>
            </w:r>
          </w:p>
        </w:tc>
        <w:tc>
          <w:tcPr>
            <w:tcW w:w="2268" w:type="dxa"/>
          </w:tcPr>
          <w:p>
            <w:pPr>
              <w:spacing w:line="360" w:lineRule="exact"/>
              <w:jc w:val="center"/>
              <w:rPr>
                <w:lang w:val="en-US"/>
              </w:rPr>
            </w:pPr>
            <w:r>
              <w:rPr>
                <w:lang w:val="en-US"/>
              </w:rPr>
              <w:t>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33.72</w:t>
            </w:r>
          </w:p>
        </w:tc>
        <w:tc>
          <w:tcPr>
            <w:tcW w:w="2268" w:type="dxa"/>
            <w:shd w:val="clear" w:color="auto" w:fill="F2F2F2"/>
          </w:tcPr>
          <w:p>
            <w:pPr>
              <w:spacing w:line="360" w:lineRule="exact"/>
              <w:jc w:val="center"/>
              <w:rPr>
                <w:lang w:val="en-US"/>
              </w:rPr>
            </w:pPr>
            <w:r>
              <w:rPr>
                <w:lang w:val="en-US"/>
              </w:rPr>
              <w:t>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33.49</w:t>
            </w:r>
          </w:p>
        </w:tc>
        <w:tc>
          <w:tcPr>
            <w:tcW w:w="2268" w:type="dxa"/>
          </w:tcPr>
          <w:p>
            <w:pPr>
              <w:spacing w:line="360" w:lineRule="exact"/>
              <w:jc w:val="center"/>
              <w:rPr>
                <w:lang w:val="en-US"/>
              </w:rPr>
            </w:pPr>
            <w:r>
              <w:rPr>
                <w:lang w:val="en-US"/>
              </w:rPr>
              <w:t>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68" w:type="dxa"/>
            <w:shd w:val="clear" w:color="auto" w:fill="F2F2F2"/>
            <w:vAlign w:val="center"/>
          </w:tcPr>
          <w:p>
            <w:pPr>
              <w:spacing w:line="360" w:lineRule="exact"/>
              <w:jc w:val="center"/>
              <w:rPr>
                <w:b/>
                <w:bCs/>
                <w:lang w:val="en-US"/>
              </w:rPr>
            </w:pPr>
            <w:r>
              <w:rPr>
                <w:rFonts w:hint="eastAsia"/>
                <w:b/>
                <w:bCs/>
                <w:sz w:val="24"/>
                <w:lang w:val="en-US"/>
              </w:rPr>
              <w:t>总计</w:t>
            </w:r>
          </w:p>
        </w:tc>
        <w:tc>
          <w:tcPr>
            <w:tcW w:w="2268" w:type="dxa"/>
            <w:shd w:val="clear" w:color="auto" w:fill="F2F2F2"/>
            <w:vAlign w:val="center"/>
          </w:tcPr>
          <w:p>
            <w:pPr>
              <w:spacing w:line="360" w:lineRule="exact"/>
              <w:jc w:val="center"/>
              <w:rPr>
                <w:sz w:val="24"/>
                <w:szCs w:val="24"/>
                <w:lang w:val="en-US"/>
              </w:rPr>
            </w:pPr>
            <w:r>
              <w:rPr>
                <w:rFonts w:hint="eastAsia"/>
                <w:sz w:val="24"/>
                <w:szCs w:val="24"/>
                <w:lang w:val="en-US"/>
              </w:rPr>
              <w:t>-</w:t>
            </w:r>
          </w:p>
        </w:tc>
        <w:tc>
          <w:tcPr>
            <w:tcW w:w="2268" w:type="dxa"/>
            <w:shd w:val="clear" w:color="auto" w:fill="E65100"/>
            <w:vAlign w:val="center"/>
          </w:tcPr>
          <w:p>
            <w:pPr>
              <w:spacing w:line="360" w:lineRule="exact"/>
              <w:jc w:val="center"/>
              <w:rPr>
                <w:b/>
                <w:bCs/>
                <w:color w:val="FFFFFF"/>
                <w:sz w:val="24"/>
                <w:szCs w:val="24"/>
                <w:lang w:val="en-US"/>
              </w:rPr>
            </w:pPr>
            <w:r>
              <w:rPr>
                <w:b/>
                <w:bCs/>
                <w:color w:val="FFFFFF"/>
                <w:sz w:val="24"/>
                <w:szCs w:val="24"/>
                <w:lang w:val="en-US"/>
              </w:rPr>
              <w:t>914MWh</w:t>
            </w:r>
          </w:p>
        </w:tc>
        <w:tc>
          <w:tcPr>
            <w:tcW w:w="2268" w:type="dxa"/>
            <w:shd w:val="clear" w:color="auto" w:fill="E65100"/>
            <w:vAlign w:val="center"/>
          </w:tcPr>
          <w:p>
            <w:pPr>
              <w:spacing w:line="360" w:lineRule="exact"/>
              <w:jc w:val="center"/>
              <w:rPr>
                <w:b/>
                <w:bCs/>
                <w:color w:val="FFFFFF"/>
                <w:sz w:val="24"/>
                <w:szCs w:val="24"/>
                <w:lang w:val="en-US"/>
              </w:rPr>
            </w:pPr>
            <w:r>
              <w:rPr>
                <w:b/>
                <w:bCs/>
                <w:color w:val="FFFFFF"/>
                <w:sz w:val="24"/>
                <w:szCs w:val="24"/>
                <w:lang w:val="en-US"/>
              </w:rPr>
              <w:t>18116.3h</w:t>
            </w:r>
          </w:p>
        </w:tc>
      </w:tr>
      <w:bookmarkEnd w:id="69"/>
    </w:tbl>
    <w:p>
      <w:pPr>
        <w:rPr>
          <w:rFonts w:ascii="黑体" w:hAnsi="黑体" w:eastAsia="黑体" w:cs="宋体"/>
          <w:bCs/>
          <w:color w:val="000000"/>
          <w:szCs w:val="18"/>
          <w:lang w:val="en-US"/>
        </w:rPr>
      </w:pPr>
    </w:p>
    <w:p>
      <w:pPr>
        <w:jc w:val="center"/>
        <w:rPr>
          <w:lang w:val="en-US"/>
        </w:rPr>
      </w:pPr>
      <w:bookmarkStart w:id="70" w:name="系统年发电量图"/>
      <w:bookmarkEnd w:id="70"/>
      <w:r>
        <w:rPr>
          <w:lang w:val="en-US"/>
        </w:rPr>
        <w:drawing>
          <wp:inline distT="0" distB="0" distL="0" distR="0">
            <wp:extent cx="5667375" cy="391477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20"/>
                    <a:stretch>
                      <a:fillRect/>
                    </a:stretch>
                  </pic:blipFill>
                  <pic:spPr>
                    <a:xfrm>
                      <a:off x="0" y="0"/>
                      <a:ext cx="5667375" cy="3914775"/>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12</w:t>
      </w:r>
      <w:r>
        <w:fldChar w:fldCharType="end"/>
      </w:r>
      <w:r>
        <w:rPr>
          <w:rFonts w:hint="eastAsia"/>
        </w:rPr>
        <w:t>全周期年发电量</w:t>
      </w:r>
    </w:p>
    <w:p>
      <w:pPr>
        <w:pStyle w:val="2"/>
      </w:pPr>
      <w:bookmarkStart w:id="71" w:name="_Toc134261605"/>
      <w:r>
        <w:rPr>
          <w:rFonts w:hint="eastAsia"/>
        </w:rPr>
        <w:t>经济效益分析</w:t>
      </w:r>
      <w:bookmarkEnd w:id="71"/>
    </w:p>
    <w:p>
      <w:pPr>
        <w:pStyle w:val="3"/>
        <w:ind w:firstLine="420"/>
        <w:rPr>
          <w:lang w:val="en-US"/>
        </w:rPr>
      </w:pPr>
      <w:r>
        <w:rPr>
          <w:rFonts w:hint="eastAsia"/>
          <w:lang w:val="en-US"/>
        </w:rPr>
        <w:t>光伏发电的经济性分析是指对太阳能光伏发电系统的成本和效益进行定量或定性的评价。光伏发电的经济性受到多种因素的影响，如系统本身的投资、技术、可靠性，以及应用地区的环境、资源、需求等。一般来说，要全面反映光伏发电的经济性，需要考虑其静态和动态效益，并与其他能源形式如进行比较。</w:t>
      </w:r>
    </w:p>
    <w:p>
      <w:pPr>
        <w:pStyle w:val="15"/>
        <w:spacing w:before="240"/>
        <w:rPr>
          <w:lang w:val="en-US"/>
        </w:rPr>
      </w:pPr>
      <w:r>
        <w:t xml:space="preserve">表 </w:t>
      </w:r>
      <w:r>
        <w:fldChar w:fldCharType="begin"/>
      </w:r>
      <w:r>
        <w:instrText xml:space="preserve"> SEQ 表 \* ARABIC </w:instrText>
      </w:r>
      <w:r>
        <w:fldChar w:fldCharType="separate"/>
      </w:r>
      <w:r>
        <w:t>10</w:t>
      </w:r>
      <w:r>
        <w:fldChar w:fldCharType="end"/>
      </w:r>
      <w:r>
        <w:t xml:space="preserve"> </w:t>
      </w:r>
      <w:r>
        <w:rPr>
          <w:rFonts w:hint="eastAsia" w:ascii="黑体" w:hAnsi="黑体" w:cs="宋体"/>
          <w:bCs/>
          <w:color w:val="000000"/>
          <w:szCs w:val="18"/>
          <w:lang w:val="en-US"/>
        </w:rPr>
        <w:t>经济效益分析表</w:t>
      </w:r>
    </w:p>
    <w:tbl>
      <w:tblPr>
        <w:tblStyle w:val="78"/>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1560"/>
        <w:gridCol w:w="2835"/>
        <w:gridCol w:w="179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395" w:type="dxa"/>
            <w:gridSpan w:val="2"/>
            <w:tcBorders>
              <w:top w:val="single" w:color="ED7D31" w:themeColor="accent2" w:sz="4" w:space="0"/>
              <w:bottom w:val="single" w:color="ED7D31" w:themeColor="accent2" w:sz="4" w:space="0"/>
              <w:right w:val="single" w:color="ED7D31" w:themeColor="accent2" w:sz="4" w:space="0"/>
            </w:tcBorders>
            <w:shd w:val="clear" w:color="auto" w:fill="ED7D31" w:themeFill="accent2"/>
          </w:tcPr>
          <w:p>
            <w:pPr>
              <w:jc w:val="center"/>
              <w:rPr>
                <w:rFonts w:ascii="黑体" w:hAnsi="黑体" w:eastAsia="黑体" w:cs="Arial"/>
                <w:b/>
                <w:bCs/>
                <w:color w:val="FFFFFF" w:themeColor="background1"/>
                <w:sz w:val="24"/>
                <w:szCs w:val="24"/>
                <w:lang w:val="en-US"/>
                <w14:textFill>
                  <w14:solidFill>
                    <w14:schemeClr w14:val="bg1"/>
                  </w14:solidFill>
                </w14:textFill>
              </w:rPr>
            </w:pPr>
            <w:bookmarkStart w:id="72" w:name="经济效益表" w:colFirst="0" w:colLast="3"/>
            <w:r>
              <w:rPr>
                <w:rFonts w:hint="eastAsia"/>
                <w:b/>
                <w:bCs/>
                <w:color w:val="FFFFFF" w:themeColor="background1"/>
                <w:sz w:val="24"/>
                <w:lang w:val="en-US"/>
                <w14:textFill>
                  <w14:solidFill>
                    <w14:schemeClr w14:val="bg1"/>
                  </w14:solidFill>
                </w14:textFill>
              </w:rPr>
              <w:t>成本</w:t>
            </w:r>
          </w:p>
        </w:tc>
        <w:tc>
          <w:tcPr>
            <w:tcW w:w="4633" w:type="dxa"/>
            <w:gridSpan w:val="2"/>
            <w:tcBorders>
              <w:top w:val="single" w:color="ED7D31" w:themeColor="accent2" w:sz="4" w:space="0"/>
              <w:left w:val="single" w:color="ED7D31" w:themeColor="accent2" w:sz="4" w:space="0"/>
              <w:bottom w:val="single" w:color="7E7E7E" w:themeColor="text1" w:themeTint="80" w:sz="4" w:space="0"/>
              <w:insideH w:val="single" w:sz="4" w:space="0"/>
            </w:tcBorders>
            <w:shd w:val="clear" w:color="auto" w:fill="ED7D31" w:themeFill="accent2"/>
          </w:tcPr>
          <w:p>
            <w:pPr>
              <w:jc w:val="center"/>
              <w:rPr>
                <w:rFonts w:ascii="黑体" w:hAnsi="黑体" w:eastAsia="黑体" w:cs="Arial"/>
                <w:b/>
                <w:bCs/>
                <w:color w:val="FFFFFF" w:themeColor="background1"/>
                <w:sz w:val="24"/>
                <w:szCs w:val="24"/>
                <w:lang w:val="en-US"/>
                <w14:textFill>
                  <w14:solidFill>
                    <w14:schemeClr w14:val="bg1"/>
                  </w14:solidFill>
                </w14:textFill>
              </w:rPr>
            </w:pPr>
            <w:r>
              <w:rPr>
                <w:rFonts w:hint="eastAsia"/>
                <w:b/>
                <w:bCs/>
                <w:color w:val="FFFFFF" w:themeColor="background1"/>
                <w:sz w:val="24"/>
                <w:lang w:val="en-US"/>
                <w14:textFill>
                  <w14:solidFill>
                    <w14:schemeClr w14:val="bg1"/>
                  </w14:solidFill>
                </w14:textFill>
              </w:rPr>
              <w:t>收益</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总装机量（kW）</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50.44</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首年发电量（MWh）</w:t>
            </w:r>
          </w:p>
        </w:tc>
        <w:tc>
          <w:tcPr>
            <w:tcW w:w="1798" w:type="dxa"/>
            <w:tcBorders>
              <w:top w:val="single" w:color="7E7E7E" w:themeColor="text1" w:themeTint="80" w:sz="4" w:space="0"/>
              <w:bottom w:val="single" w:color="ED7D31" w:themeColor="accent2" w:sz="4" w:space="0"/>
            </w:tcBorders>
          </w:tcPr>
          <w:p>
            <w:pPr>
              <w:rPr>
                <w:lang w:val="en-US"/>
              </w:rPr>
            </w:pPr>
            <w:r>
              <w:rPr>
                <w:rFonts w:hint="eastAsia"/>
                <w:lang w:val="en-US"/>
              </w:rPr>
              <w:t>41.43</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每瓦成本（元）</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5</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25年发电量（MWh）</w:t>
            </w:r>
          </w:p>
        </w:tc>
        <w:tc>
          <w:tcPr>
            <w:tcW w:w="1798" w:type="dxa"/>
            <w:tcBorders>
              <w:top w:val="single" w:color="ED7D31" w:themeColor="accent2" w:sz="4" w:space="0"/>
              <w:bottom w:val="single" w:color="ED7D31" w:themeColor="accent2" w:sz="4" w:space="0"/>
            </w:tcBorders>
          </w:tcPr>
          <w:p>
            <w:pPr>
              <w:rPr>
                <w:lang w:val="en-US"/>
              </w:rPr>
            </w:pPr>
            <w:r>
              <w:rPr>
                <w:rFonts w:hint="eastAsia"/>
                <w:lang w:val="en-US"/>
              </w:rPr>
              <w:t>913.8</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组件占总投资比例(%)</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40</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电价（元/度）</w:t>
            </w:r>
          </w:p>
        </w:tc>
        <w:tc>
          <w:tcPr>
            <w:tcW w:w="1798" w:type="dxa"/>
            <w:tcBorders>
              <w:top w:val="single" w:color="ED7D31" w:themeColor="accent2" w:sz="4" w:space="0"/>
              <w:bottom w:val="single" w:color="ED7D31" w:themeColor="accent2" w:sz="4" w:space="0"/>
            </w:tcBorders>
          </w:tcPr>
          <w:p>
            <w:pPr>
              <w:rPr>
                <w:lang w:val="en-US"/>
              </w:rPr>
            </w:pPr>
            <w:r>
              <w:rPr>
                <w:rFonts w:hint="eastAsia"/>
                <w:lang w:val="en-US"/>
              </w:rPr>
              <w:t>1</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2835" w:type="dxa"/>
            <w:tcBorders>
              <w:top w:val="single" w:color="ED7D31" w:themeColor="accent2" w:sz="4" w:space="0"/>
              <w:bottom w:val="single" w:color="ED7D31" w:themeColor="accent2" w:sz="4" w:space="0"/>
            </w:tcBorders>
          </w:tcPr>
          <w:p>
            <w:pPr>
              <w:rPr>
                <w:b/>
                <w:bCs/>
                <w:lang w:val="en-US"/>
              </w:rPr>
            </w:pPr>
            <w:r>
              <w:rPr>
                <w:rFonts w:hint="eastAsia"/>
                <w:b/>
                <w:bCs/>
                <w:lang w:val="en-US"/>
              </w:rPr>
              <w:t>总投资（万元）</w:t>
            </w:r>
          </w:p>
        </w:tc>
        <w:tc>
          <w:tcPr>
            <w:tcW w:w="1560" w:type="dxa"/>
            <w:tcBorders>
              <w:top w:val="single" w:color="ED7D31" w:themeColor="accent2" w:sz="4" w:space="0"/>
              <w:bottom w:val="single" w:color="ED7D31" w:themeColor="accent2" w:sz="4" w:space="0"/>
              <w:right w:val="single" w:color="ED7D31" w:themeColor="accent2" w:sz="4" w:space="0"/>
            </w:tcBorders>
          </w:tcPr>
          <w:p>
            <w:pPr>
              <w:rPr>
                <w:b/>
                <w:lang w:val="en-US"/>
              </w:rPr>
            </w:pPr>
            <w:r>
              <w:rPr>
                <w:rFonts w:hint="eastAsia"/>
                <w:b/>
                <w:lang w:val="en-US"/>
              </w:rPr>
              <w:t>63.05</w:t>
            </w:r>
          </w:p>
        </w:tc>
        <w:tc>
          <w:tcPr>
            <w:tcW w:w="2835" w:type="dxa"/>
            <w:tcBorders>
              <w:top w:val="single" w:color="ED7D31" w:themeColor="accent2" w:sz="4" w:space="0"/>
              <w:left w:val="single" w:color="ED7D31" w:themeColor="accent2" w:sz="4" w:space="0"/>
              <w:bottom w:val="single" w:color="ED7D31" w:themeColor="accent2" w:sz="4" w:space="0"/>
            </w:tcBorders>
          </w:tcPr>
          <w:p>
            <w:pPr>
              <w:rPr>
                <w:b/>
                <w:lang w:val="en-US"/>
              </w:rPr>
            </w:pPr>
            <w:r>
              <w:rPr>
                <w:rFonts w:hint="eastAsia"/>
                <w:b/>
                <w:lang w:val="en-US"/>
              </w:rPr>
              <w:t>总收益（万元）</w:t>
            </w:r>
          </w:p>
        </w:tc>
        <w:tc>
          <w:tcPr>
            <w:tcW w:w="1798" w:type="dxa"/>
            <w:tcBorders>
              <w:top w:val="single" w:color="ED7D31" w:themeColor="accent2" w:sz="4" w:space="0"/>
              <w:bottom w:val="single" w:color="ED7D31" w:themeColor="accent2" w:sz="4" w:space="0"/>
            </w:tcBorders>
          </w:tcPr>
          <w:p>
            <w:pPr>
              <w:rPr>
                <w:b/>
                <w:lang w:val="en-US"/>
              </w:rPr>
            </w:pPr>
            <w:r>
              <w:rPr>
                <w:rFonts w:hint="eastAsia"/>
                <w:b/>
                <w:lang w:val="en-US"/>
              </w:rPr>
              <w:t>91.38</w:t>
            </w:r>
          </w:p>
        </w:tc>
      </w:tr>
      <w:bookmarkEnd w:id="72"/>
    </w:tbl>
    <w:p>
      <w:pPr>
        <w:pStyle w:val="15"/>
        <w:spacing w:before="240"/>
        <w:rPr>
          <w:lang w:val="en-US"/>
        </w:rPr>
      </w:pPr>
      <w:r>
        <w:t xml:space="preserve">表 </w:t>
      </w:r>
      <w:r>
        <w:fldChar w:fldCharType="begin"/>
      </w:r>
      <w:r>
        <w:instrText xml:space="preserve"> SEQ 表 \* ARABIC </w:instrText>
      </w:r>
      <w:r>
        <w:fldChar w:fldCharType="separate"/>
      </w:r>
      <w:r>
        <w:t>11</w:t>
      </w:r>
      <w:r>
        <w:fldChar w:fldCharType="end"/>
      </w:r>
      <w:r>
        <w:t xml:space="preserve"> </w:t>
      </w:r>
      <w:r>
        <w:rPr>
          <w:rFonts w:hint="eastAsia"/>
        </w:rPr>
        <w:t>系统</w:t>
      </w:r>
      <w:r>
        <w:rPr>
          <w:rFonts w:hint="eastAsia" w:ascii="黑体" w:hAnsi="黑体" w:cs="宋体"/>
          <w:bCs/>
          <w:color w:val="000000"/>
          <w:szCs w:val="18"/>
          <w:lang w:val="en-US"/>
        </w:rPr>
        <w:t>2</w:t>
      </w:r>
      <w:r>
        <w:rPr>
          <w:rFonts w:ascii="黑体" w:hAnsi="黑体" w:cs="宋体"/>
          <w:bCs/>
          <w:color w:val="000000"/>
          <w:szCs w:val="18"/>
          <w:lang w:val="en-US"/>
        </w:rPr>
        <w:t>5</w:t>
      </w:r>
      <w:r>
        <w:rPr>
          <w:rFonts w:hint="eastAsia" w:ascii="黑体" w:hAnsi="黑体" w:cs="宋体"/>
          <w:bCs/>
          <w:color w:val="000000"/>
          <w:szCs w:val="18"/>
          <w:lang w:val="en-US"/>
        </w:rPr>
        <w:t>年经济性分析</w:t>
      </w:r>
    </w:p>
    <w:tbl>
      <w:tblPr>
        <w:tblStyle w:val="82"/>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2"/>
        <w:gridCol w:w="1512"/>
        <w:gridCol w:w="1512"/>
        <w:gridCol w:w="1512"/>
        <w:gridCol w:w="1512"/>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ED7D31" w:themeFill="accent2"/>
            <w:vAlign w:val="center"/>
          </w:tcPr>
          <w:p>
            <w:pPr>
              <w:spacing w:line="360" w:lineRule="exact"/>
              <w:jc w:val="center"/>
              <w:rPr>
                <w:b/>
                <w:bCs/>
                <w:color w:val="FFFFFF"/>
                <w:szCs w:val="21"/>
              </w:rPr>
            </w:pPr>
            <w:bookmarkStart w:id="73" w:name="逐年收益统计表" w:colFirst="0" w:colLast="3"/>
            <w:r>
              <w:rPr>
                <w:rFonts w:hint="eastAsia"/>
                <w:b/>
                <w:bCs/>
                <w:color w:val="FFFFFF"/>
                <w:szCs w:val="21"/>
              </w:rPr>
              <w:t>年</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组件衰减率</w:t>
            </w:r>
          </w:p>
          <w:p>
            <w:pPr>
              <w:spacing w:line="360" w:lineRule="exact"/>
              <w:jc w:val="center"/>
              <w:rPr>
                <w:b/>
                <w:bCs/>
                <w:color w:val="FFFFFF"/>
                <w:szCs w:val="21"/>
              </w:rPr>
            </w:pPr>
            <w:r>
              <w:rPr>
                <w:rFonts w:hint="eastAsia"/>
                <w:b/>
                <w:bCs/>
                <w:color w:val="FFFFFF"/>
                <w:szCs w:val="21"/>
              </w:rPr>
              <w:t>(%)</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年发电量</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收益（元）</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收益平衡</w:t>
            </w:r>
          </w:p>
          <w:p>
            <w:pPr>
              <w:spacing w:line="360" w:lineRule="exact"/>
              <w:jc w:val="center"/>
              <w:rPr>
                <w:b/>
                <w:bCs/>
                <w:color w:val="FFFFFF"/>
                <w:szCs w:val="21"/>
              </w:rPr>
            </w:pPr>
            <w:r>
              <w:rPr>
                <w:rFonts w:hint="eastAsia"/>
                <w:b/>
                <w:bCs/>
                <w:color w:val="FFFFFF"/>
                <w:szCs w:val="21"/>
              </w:rPr>
              <w:t>（万元）</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发电利用小时数（h）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b/>
                <w:bCs/>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-63.05</w:t>
            </w:r>
          </w:p>
        </w:tc>
        <w:tc>
          <w:tcPr>
            <w:tcW w:w="1512" w:type="dxa"/>
          </w:tcPr>
          <w:p>
            <w:pPr>
              <w:spacing w:line="360" w:lineRule="exact"/>
              <w:jc w:val="center"/>
              <w:rPr>
                <w:lang w:val="en-US"/>
              </w:rPr>
            </w:pP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第1年</w:t>
            </w:r>
          </w:p>
        </w:tc>
        <w:tc>
          <w:tcPr>
            <w:tcW w:w="1512" w:type="dxa"/>
            <w:shd w:val="clear" w:color="auto" w:fill="F2F2F2"/>
          </w:tcPr>
          <w:p>
            <w:pPr>
              <w:spacing w:line="360" w:lineRule="exact"/>
              <w:jc w:val="center"/>
              <w:rPr>
                <w:lang w:val="en-US"/>
              </w:rPr>
            </w:pPr>
            <w:r>
              <w:rPr>
                <w:rFonts w:hint="eastAsia"/>
                <w:lang w:val="en-US"/>
              </w:rPr>
              <w:t>5</w:t>
            </w:r>
          </w:p>
        </w:tc>
        <w:tc>
          <w:tcPr>
            <w:tcW w:w="1512" w:type="dxa"/>
            <w:shd w:val="clear" w:color="auto" w:fill="F2F2F2"/>
          </w:tcPr>
          <w:p>
            <w:pPr>
              <w:spacing w:line="360" w:lineRule="exact"/>
              <w:jc w:val="center"/>
              <w:rPr>
                <w:lang w:val="en-US"/>
              </w:rPr>
            </w:pPr>
            <w:r>
              <w:rPr>
                <w:rFonts w:hint="eastAsia"/>
                <w:lang w:val="en-US"/>
              </w:rPr>
              <w:t>41.43</w:t>
            </w:r>
          </w:p>
        </w:tc>
        <w:tc>
          <w:tcPr>
            <w:tcW w:w="1512" w:type="dxa"/>
            <w:shd w:val="clear" w:color="auto" w:fill="F2F2F2"/>
          </w:tcPr>
          <w:p>
            <w:pPr>
              <w:spacing w:line="360" w:lineRule="exact"/>
              <w:jc w:val="center"/>
              <w:rPr>
                <w:lang w:val="en-US"/>
              </w:rPr>
            </w:pPr>
            <w:r>
              <w:rPr>
                <w:rFonts w:hint="eastAsia"/>
                <w:lang w:val="en-US"/>
              </w:rPr>
              <w:t>41431</w:t>
            </w:r>
          </w:p>
        </w:tc>
        <w:tc>
          <w:tcPr>
            <w:tcW w:w="1512" w:type="dxa"/>
            <w:shd w:val="clear" w:color="auto" w:fill="F2F2F2"/>
          </w:tcPr>
          <w:p>
            <w:pPr>
              <w:spacing w:line="360" w:lineRule="exact"/>
              <w:jc w:val="center"/>
              <w:rPr>
                <w:lang w:val="en-US"/>
              </w:rPr>
            </w:pPr>
            <w:r>
              <w:rPr>
                <w:rFonts w:hint="eastAsia"/>
                <w:lang w:val="en-US"/>
              </w:rPr>
              <w:t>-58.91</w:t>
            </w:r>
          </w:p>
        </w:tc>
        <w:tc>
          <w:tcPr>
            <w:tcW w:w="1512" w:type="dxa"/>
            <w:shd w:val="clear" w:color="auto" w:fill="F2F2F2"/>
          </w:tcPr>
          <w:p>
            <w:pPr>
              <w:spacing w:line="360" w:lineRule="exact"/>
              <w:jc w:val="center"/>
              <w:rPr>
                <w:lang w:val="en-US"/>
              </w:rPr>
            </w:pPr>
            <w:r>
              <w:rPr>
                <w:rFonts w:hint="eastAsia"/>
                <w:lang w:val="en-US"/>
              </w:rPr>
              <w:t>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39.36</w:t>
            </w:r>
          </w:p>
        </w:tc>
        <w:tc>
          <w:tcPr>
            <w:tcW w:w="1512" w:type="dxa"/>
          </w:tcPr>
          <w:p>
            <w:pPr>
              <w:spacing w:line="360" w:lineRule="exact"/>
              <w:jc w:val="center"/>
              <w:rPr>
                <w:lang w:val="en-US"/>
              </w:rPr>
            </w:pPr>
            <w:r>
              <w:rPr>
                <w:rFonts w:hint="eastAsia"/>
                <w:lang w:val="en-US"/>
              </w:rPr>
              <w:t>39360</w:t>
            </w:r>
          </w:p>
        </w:tc>
        <w:tc>
          <w:tcPr>
            <w:tcW w:w="1512" w:type="dxa"/>
          </w:tcPr>
          <w:p>
            <w:pPr>
              <w:spacing w:line="360" w:lineRule="exact"/>
              <w:jc w:val="center"/>
              <w:rPr>
                <w:lang w:val="en-US"/>
              </w:rPr>
            </w:pPr>
            <w:r>
              <w:rPr>
                <w:rFonts w:hint="eastAsia"/>
                <w:lang w:val="en-US"/>
              </w:rPr>
              <w:t>-54.97</w:t>
            </w:r>
          </w:p>
        </w:tc>
        <w:tc>
          <w:tcPr>
            <w:tcW w:w="1512" w:type="dxa"/>
          </w:tcPr>
          <w:p>
            <w:pPr>
              <w:spacing w:line="360" w:lineRule="exact"/>
              <w:jc w:val="center"/>
              <w:rPr>
                <w:lang w:val="en-US"/>
              </w:rPr>
            </w:pPr>
            <w:r>
              <w:rPr>
                <w:rFonts w:hint="eastAsia"/>
                <w:lang w:val="en-US"/>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39.08</w:t>
            </w:r>
          </w:p>
        </w:tc>
        <w:tc>
          <w:tcPr>
            <w:tcW w:w="1512" w:type="dxa"/>
            <w:shd w:val="clear" w:color="auto" w:fill="F2F2F2"/>
          </w:tcPr>
          <w:p>
            <w:pPr>
              <w:spacing w:line="360" w:lineRule="exact"/>
              <w:jc w:val="center"/>
              <w:rPr>
                <w:lang w:val="en-US"/>
              </w:rPr>
            </w:pPr>
            <w:r>
              <w:rPr>
                <w:rFonts w:hint="eastAsia"/>
                <w:lang w:val="en-US"/>
              </w:rPr>
              <w:t>39084</w:t>
            </w:r>
          </w:p>
        </w:tc>
        <w:tc>
          <w:tcPr>
            <w:tcW w:w="1512" w:type="dxa"/>
            <w:shd w:val="clear" w:color="auto" w:fill="F2F2F2"/>
          </w:tcPr>
          <w:p>
            <w:pPr>
              <w:spacing w:line="360" w:lineRule="exact"/>
              <w:jc w:val="center"/>
              <w:rPr>
                <w:lang w:val="en-US"/>
              </w:rPr>
            </w:pPr>
            <w:r>
              <w:rPr>
                <w:rFonts w:hint="eastAsia"/>
                <w:lang w:val="en-US"/>
              </w:rPr>
              <w:t>-51.06</w:t>
            </w:r>
          </w:p>
        </w:tc>
        <w:tc>
          <w:tcPr>
            <w:tcW w:w="1512" w:type="dxa"/>
            <w:shd w:val="clear" w:color="auto" w:fill="F2F2F2"/>
          </w:tcPr>
          <w:p>
            <w:pPr>
              <w:spacing w:line="360" w:lineRule="exact"/>
              <w:jc w:val="center"/>
              <w:rPr>
                <w:lang w:val="en-US"/>
              </w:rPr>
            </w:pPr>
            <w:r>
              <w:rPr>
                <w:rFonts w:hint="eastAsia"/>
                <w:lang w:val="en-US"/>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38.81</w:t>
            </w:r>
          </w:p>
        </w:tc>
        <w:tc>
          <w:tcPr>
            <w:tcW w:w="1512" w:type="dxa"/>
          </w:tcPr>
          <w:p>
            <w:pPr>
              <w:spacing w:line="360" w:lineRule="exact"/>
              <w:jc w:val="center"/>
              <w:rPr>
                <w:lang w:val="en-US"/>
              </w:rPr>
            </w:pPr>
            <w:r>
              <w:rPr>
                <w:rFonts w:hint="eastAsia"/>
                <w:lang w:val="en-US"/>
              </w:rPr>
              <w:t>38811</w:t>
            </w:r>
          </w:p>
        </w:tc>
        <w:tc>
          <w:tcPr>
            <w:tcW w:w="1512" w:type="dxa"/>
          </w:tcPr>
          <w:p>
            <w:pPr>
              <w:spacing w:line="360" w:lineRule="exact"/>
              <w:jc w:val="center"/>
              <w:rPr>
                <w:lang w:val="en-US"/>
              </w:rPr>
            </w:pPr>
            <w:r>
              <w:rPr>
                <w:rFonts w:hint="eastAsia"/>
                <w:lang w:val="en-US"/>
              </w:rPr>
              <w:t>-47.18</w:t>
            </w:r>
          </w:p>
        </w:tc>
        <w:tc>
          <w:tcPr>
            <w:tcW w:w="1512" w:type="dxa"/>
          </w:tcPr>
          <w:p>
            <w:pPr>
              <w:spacing w:line="360" w:lineRule="exact"/>
              <w:jc w:val="center"/>
              <w:rPr>
                <w:lang w:val="en-US"/>
              </w:rPr>
            </w:pPr>
            <w:r>
              <w:rPr>
                <w:rFonts w:hint="eastAsia"/>
                <w:lang w:val="en-US"/>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38.54</w:t>
            </w:r>
          </w:p>
        </w:tc>
        <w:tc>
          <w:tcPr>
            <w:tcW w:w="1512" w:type="dxa"/>
            <w:shd w:val="clear" w:color="auto" w:fill="F2F2F2"/>
          </w:tcPr>
          <w:p>
            <w:pPr>
              <w:spacing w:line="360" w:lineRule="exact"/>
              <w:jc w:val="center"/>
              <w:rPr>
                <w:lang w:val="en-US"/>
              </w:rPr>
            </w:pPr>
            <w:r>
              <w:rPr>
                <w:rFonts w:hint="eastAsia"/>
                <w:lang w:val="en-US"/>
              </w:rPr>
              <w:t>38539</w:t>
            </w:r>
          </w:p>
        </w:tc>
        <w:tc>
          <w:tcPr>
            <w:tcW w:w="1512" w:type="dxa"/>
            <w:shd w:val="clear" w:color="auto" w:fill="F2F2F2"/>
          </w:tcPr>
          <w:p>
            <w:pPr>
              <w:spacing w:line="360" w:lineRule="exact"/>
              <w:jc w:val="center"/>
              <w:rPr>
                <w:lang w:val="en-US"/>
              </w:rPr>
            </w:pPr>
            <w:r>
              <w:rPr>
                <w:rFonts w:hint="eastAsia"/>
                <w:lang w:val="en-US"/>
              </w:rPr>
              <w:t>-43.33</w:t>
            </w:r>
          </w:p>
        </w:tc>
        <w:tc>
          <w:tcPr>
            <w:tcW w:w="1512" w:type="dxa"/>
            <w:shd w:val="clear" w:color="auto" w:fill="F2F2F2"/>
          </w:tcPr>
          <w:p>
            <w:pPr>
              <w:spacing w:line="360" w:lineRule="exact"/>
              <w:jc w:val="center"/>
              <w:rPr>
                <w:lang w:val="en-US"/>
              </w:rPr>
            </w:pPr>
            <w:r>
              <w:rPr>
                <w:rFonts w:hint="eastAsia"/>
                <w:lang w:val="en-US"/>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第6年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38.27</w:t>
            </w:r>
          </w:p>
        </w:tc>
        <w:tc>
          <w:tcPr>
            <w:tcW w:w="1512" w:type="dxa"/>
          </w:tcPr>
          <w:p>
            <w:pPr>
              <w:spacing w:line="360" w:lineRule="exact"/>
              <w:jc w:val="center"/>
              <w:rPr>
                <w:lang w:val="en-US"/>
              </w:rPr>
            </w:pPr>
            <w:r>
              <w:rPr>
                <w:rFonts w:hint="eastAsia"/>
                <w:lang w:val="en-US"/>
              </w:rPr>
              <w:t>38269</w:t>
            </w:r>
          </w:p>
        </w:tc>
        <w:tc>
          <w:tcPr>
            <w:tcW w:w="1512" w:type="dxa"/>
          </w:tcPr>
          <w:p>
            <w:pPr>
              <w:spacing w:line="360" w:lineRule="exact"/>
              <w:jc w:val="center"/>
              <w:rPr>
                <w:lang w:val="en-US"/>
              </w:rPr>
            </w:pPr>
            <w:r>
              <w:rPr>
                <w:rFonts w:hint="eastAsia"/>
                <w:lang w:val="en-US"/>
              </w:rPr>
              <w:t>-39.5</w:t>
            </w:r>
          </w:p>
        </w:tc>
        <w:tc>
          <w:tcPr>
            <w:tcW w:w="1512" w:type="dxa"/>
          </w:tcPr>
          <w:p>
            <w:pPr>
              <w:spacing w:line="360" w:lineRule="exact"/>
              <w:jc w:val="center"/>
              <w:rPr>
                <w:lang w:val="en-US"/>
              </w:rPr>
            </w:pPr>
            <w:r>
              <w:rPr>
                <w:rFonts w:hint="eastAsia"/>
                <w:lang w:val="en-US"/>
              </w:rPr>
              <w:t>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第7年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38.00</w:t>
            </w:r>
          </w:p>
        </w:tc>
        <w:tc>
          <w:tcPr>
            <w:tcW w:w="1512" w:type="dxa"/>
            <w:shd w:val="clear" w:color="auto" w:fill="F2F2F2"/>
          </w:tcPr>
          <w:p>
            <w:pPr>
              <w:spacing w:line="360" w:lineRule="exact"/>
              <w:jc w:val="center"/>
              <w:rPr>
                <w:lang w:val="en-US"/>
              </w:rPr>
            </w:pPr>
            <w:r>
              <w:rPr>
                <w:rFonts w:hint="eastAsia"/>
                <w:lang w:val="en-US"/>
              </w:rPr>
              <w:t>38001</w:t>
            </w:r>
          </w:p>
        </w:tc>
        <w:tc>
          <w:tcPr>
            <w:tcW w:w="1512" w:type="dxa"/>
            <w:shd w:val="clear" w:color="auto" w:fill="F2F2F2"/>
          </w:tcPr>
          <w:p>
            <w:pPr>
              <w:spacing w:line="360" w:lineRule="exact"/>
              <w:jc w:val="center"/>
              <w:rPr>
                <w:lang w:val="en-US"/>
              </w:rPr>
            </w:pPr>
            <w:r>
              <w:rPr>
                <w:rFonts w:hint="eastAsia"/>
                <w:lang w:val="en-US"/>
              </w:rPr>
              <w:t>-35.7</w:t>
            </w:r>
          </w:p>
        </w:tc>
        <w:tc>
          <w:tcPr>
            <w:tcW w:w="1512" w:type="dxa"/>
            <w:shd w:val="clear" w:color="auto" w:fill="F2F2F2"/>
          </w:tcPr>
          <w:p>
            <w:pPr>
              <w:spacing w:line="360" w:lineRule="exact"/>
              <w:jc w:val="center"/>
              <w:rPr>
                <w:lang w:val="en-US"/>
              </w:rPr>
            </w:pPr>
            <w:r>
              <w:rPr>
                <w:rFonts w:hint="eastAsia"/>
                <w:lang w:val="en-US"/>
              </w:rPr>
              <w:t>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第8年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37.74</w:t>
            </w:r>
          </w:p>
        </w:tc>
        <w:tc>
          <w:tcPr>
            <w:tcW w:w="1512" w:type="dxa"/>
          </w:tcPr>
          <w:p>
            <w:pPr>
              <w:spacing w:line="360" w:lineRule="exact"/>
              <w:jc w:val="center"/>
              <w:rPr>
                <w:lang w:val="en-US"/>
              </w:rPr>
            </w:pPr>
            <w:r>
              <w:rPr>
                <w:rFonts w:hint="eastAsia"/>
                <w:lang w:val="en-US"/>
              </w:rPr>
              <w:t>37735</w:t>
            </w:r>
          </w:p>
        </w:tc>
        <w:tc>
          <w:tcPr>
            <w:tcW w:w="1512" w:type="dxa"/>
          </w:tcPr>
          <w:p>
            <w:pPr>
              <w:spacing w:line="360" w:lineRule="exact"/>
              <w:jc w:val="center"/>
              <w:rPr>
                <w:lang w:val="en-US"/>
              </w:rPr>
            </w:pPr>
            <w:r>
              <w:rPr>
                <w:rFonts w:hint="eastAsia"/>
                <w:lang w:val="en-US"/>
              </w:rPr>
              <w:t>-31.93</w:t>
            </w:r>
          </w:p>
        </w:tc>
        <w:tc>
          <w:tcPr>
            <w:tcW w:w="1512" w:type="dxa"/>
          </w:tcPr>
          <w:p>
            <w:pPr>
              <w:spacing w:line="360" w:lineRule="exact"/>
              <w:jc w:val="center"/>
              <w:rPr>
                <w:lang w:val="en-US"/>
              </w:rPr>
            </w:pPr>
            <w:r>
              <w:rPr>
                <w:rFonts w:hint="eastAsia"/>
                <w:lang w:val="en-US"/>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第9年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37.47</w:t>
            </w:r>
          </w:p>
        </w:tc>
        <w:tc>
          <w:tcPr>
            <w:tcW w:w="1512" w:type="dxa"/>
            <w:shd w:val="clear" w:color="auto" w:fill="F2F2F2"/>
          </w:tcPr>
          <w:p>
            <w:pPr>
              <w:spacing w:line="360" w:lineRule="exact"/>
              <w:jc w:val="center"/>
              <w:rPr>
                <w:lang w:val="en-US"/>
              </w:rPr>
            </w:pPr>
            <w:r>
              <w:rPr>
                <w:rFonts w:hint="eastAsia"/>
                <w:lang w:val="en-US"/>
              </w:rPr>
              <w:t>37471</w:t>
            </w:r>
          </w:p>
        </w:tc>
        <w:tc>
          <w:tcPr>
            <w:tcW w:w="1512" w:type="dxa"/>
            <w:shd w:val="clear" w:color="auto" w:fill="F2F2F2"/>
          </w:tcPr>
          <w:p>
            <w:pPr>
              <w:spacing w:line="360" w:lineRule="exact"/>
              <w:jc w:val="center"/>
              <w:rPr>
                <w:lang w:val="en-US"/>
              </w:rPr>
            </w:pPr>
            <w:r>
              <w:rPr>
                <w:rFonts w:hint="eastAsia"/>
                <w:lang w:val="en-US"/>
              </w:rPr>
              <w:t>-28.18</w:t>
            </w:r>
          </w:p>
        </w:tc>
        <w:tc>
          <w:tcPr>
            <w:tcW w:w="1512" w:type="dxa"/>
            <w:shd w:val="clear" w:color="auto" w:fill="F2F2F2"/>
          </w:tcPr>
          <w:p>
            <w:pPr>
              <w:spacing w:line="360" w:lineRule="exact"/>
              <w:jc w:val="center"/>
              <w:rPr>
                <w:lang w:val="en-US"/>
              </w:rPr>
            </w:pPr>
            <w:r>
              <w:rPr>
                <w:rFonts w:hint="eastAsia"/>
                <w:lang w:val="en-US"/>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第10年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37.21</w:t>
            </w:r>
          </w:p>
        </w:tc>
        <w:tc>
          <w:tcPr>
            <w:tcW w:w="1512" w:type="dxa"/>
          </w:tcPr>
          <w:p>
            <w:pPr>
              <w:spacing w:line="360" w:lineRule="exact"/>
              <w:jc w:val="center"/>
              <w:rPr>
                <w:lang w:val="en-US"/>
              </w:rPr>
            </w:pPr>
            <w:r>
              <w:rPr>
                <w:rFonts w:hint="eastAsia"/>
                <w:lang w:val="en-US"/>
              </w:rPr>
              <w:t>37209</w:t>
            </w:r>
          </w:p>
        </w:tc>
        <w:tc>
          <w:tcPr>
            <w:tcW w:w="1512" w:type="dxa"/>
          </w:tcPr>
          <w:p>
            <w:pPr>
              <w:spacing w:line="360" w:lineRule="exact"/>
              <w:jc w:val="center"/>
              <w:rPr>
                <w:lang w:val="en-US"/>
              </w:rPr>
            </w:pPr>
            <w:r>
              <w:rPr>
                <w:rFonts w:hint="eastAsia"/>
                <w:lang w:val="en-US"/>
              </w:rPr>
              <w:t>-24.46</w:t>
            </w:r>
          </w:p>
        </w:tc>
        <w:tc>
          <w:tcPr>
            <w:tcW w:w="1512" w:type="dxa"/>
          </w:tcPr>
          <w:p>
            <w:pPr>
              <w:spacing w:line="360" w:lineRule="exact"/>
              <w:jc w:val="center"/>
              <w:rPr>
                <w:lang w:val="en-US"/>
              </w:rPr>
            </w:pPr>
            <w:r>
              <w:rPr>
                <w:rFonts w:hint="eastAsia"/>
                <w:lang w:val="en-US"/>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第11年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36.95</w:t>
            </w:r>
          </w:p>
        </w:tc>
        <w:tc>
          <w:tcPr>
            <w:tcW w:w="1512" w:type="dxa"/>
            <w:shd w:val="clear" w:color="auto" w:fill="F2F2F2"/>
          </w:tcPr>
          <w:p>
            <w:pPr>
              <w:spacing w:line="360" w:lineRule="exact"/>
              <w:jc w:val="center"/>
              <w:rPr>
                <w:lang w:val="en-US"/>
              </w:rPr>
            </w:pPr>
            <w:r>
              <w:rPr>
                <w:rFonts w:hint="eastAsia"/>
                <w:lang w:val="en-US"/>
              </w:rPr>
              <w:t>36948</w:t>
            </w:r>
          </w:p>
        </w:tc>
        <w:tc>
          <w:tcPr>
            <w:tcW w:w="1512" w:type="dxa"/>
            <w:shd w:val="clear" w:color="auto" w:fill="F2F2F2"/>
          </w:tcPr>
          <w:p>
            <w:pPr>
              <w:spacing w:line="360" w:lineRule="exact"/>
              <w:jc w:val="center"/>
              <w:rPr>
                <w:lang w:val="en-US"/>
              </w:rPr>
            </w:pPr>
            <w:r>
              <w:rPr>
                <w:rFonts w:hint="eastAsia"/>
                <w:lang w:val="en-US"/>
              </w:rPr>
              <w:t>-20.77</w:t>
            </w:r>
          </w:p>
        </w:tc>
        <w:tc>
          <w:tcPr>
            <w:tcW w:w="1512" w:type="dxa"/>
            <w:shd w:val="clear" w:color="auto" w:fill="F2F2F2"/>
          </w:tcPr>
          <w:p>
            <w:pPr>
              <w:spacing w:line="360" w:lineRule="exact"/>
              <w:jc w:val="center"/>
              <w:rPr>
                <w:lang w:val="en-US"/>
              </w:rPr>
            </w:pPr>
            <w:r>
              <w:rPr>
                <w:rFonts w:hint="eastAsia"/>
                <w:lang w:val="en-US"/>
              </w:rPr>
              <w:t>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36.69</w:t>
            </w:r>
          </w:p>
        </w:tc>
        <w:tc>
          <w:tcPr>
            <w:tcW w:w="1512" w:type="dxa"/>
          </w:tcPr>
          <w:p>
            <w:pPr>
              <w:spacing w:line="360" w:lineRule="exact"/>
              <w:jc w:val="center"/>
              <w:rPr>
                <w:lang w:val="en-US"/>
              </w:rPr>
            </w:pPr>
            <w:r>
              <w:rPr>
                <w:rFonts w:hint="eastAsia"/>
                <w:lang w:val="en-US"/>
              </w:rPr>
              <w:t>36690</w:t>
            </w:r>
          </w:p>
        </w:tc>
        <w:tc>
          <w:tcPr>
            <w:tcW w:w="1512" w:type="dxa"/>
          </w:tcPr>
          <w:p>
            <w:pPr>
              <w:spacing w:line="360" w:lineRule="exact"/>
              <w:jc w:val="center"/>
              <w:rPr>
                <w:lang w:val="en-US"/>
              </w:rPr>
            </w:pPr>
            <w:r>
              <w:rPr>
                <w:rFonts w:hint="eastAsia"/>
                <w:lang w:val="en-US"/>
              </w:rPr>
              <w:t>-17.1</w:t>
            </w:r>
          </w:p>
        </w:tc>
        <w:tc>
          <w:tcPr>
            <w:tcW w:w="1512" w:type="dxa"/>
          </w:tcPr>
          <w:p>
            <w:pPr>
              <w:spacing w:line="360" w:lineRule="exact"/>
              <w:jc w:val="center"/>
              <w:rPr>
                <w:lang w:val="en-US"/>
              </w:rPr>
            </w:pPr>
            <w:r>
              <w:rPr>
                <w:rFonts w:hint="eastAsia"/>
                <w:lang w:val="en-US"/>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36.43</w:t>
            </w:r>
          </w:p>
        </w:tc>
        <w:tc>
          <w:tcPr>
            <w:tcW w:w="1512" w:type="dxa"/>
            <w:shd w:val="clear" w:color="auto" w:fill="F2F2F2"/>
          </w:tcPr>
          <w:p>
            <w:pPr>
              <w:spacing w:line="360" w:lineRule="exact"/>
              <w:jc w:val="center"/>
              <w:rPr>
                <w:lang w:val="en-US"/>
              </w:rPr>
            </w:pPr>
            <w:r>
              <w:rPr>
                <w:rFonts w:hint="eastAsia"/>
                <w:lang w:val="en-US"/>
              </w:rPr>
              <w:t>36433</w:t>
            </w:r>
          </w:p>
        </w:tc>
        <w:tc>
          <w:tcPr>
            <w:tcW w:w="1512" w:type="dxa"/>
            <w:shd w:val="clear" w:color="auto" w:fill="F2F2F2"/>
          </w:tcPr>
          <w:p>
            <w:pPr>
              <w:spacing w:line="360" w:lineRule="exact"/>
              <w:jc w:val="center"/>
              <w:rPr>
                <w:lang w:val="en-US"/>
              </w:rPr>
            </w:pPr>
            <w:r>
              <w:rPr>
                <w:rFonts w:hint="eastAsia"/>
                <w:lang w:val="en-US"/>
              </w:rPr>
              <w:t>-13.46</w:t>
            </w:r>
          </w:p>
        </w:tc>
        <w:tc>
          <w:tcPr>
            <w:tcW w:w="1512" w:type="dxa"/>
            <w:shd w:val="clear" w:color="auto" w:fill="F2F2F2"/>
          </w:tcPr>
          <w:p>
            <w:pPr>
              <w:spacing w:line="360" w:lineRule="exact"/>
              <w:jc w:val="center"/>
              <w:rPr>
                <w:lang w:val="en-US"/>
              </w:rPr>
            </w:pPr>
            <w:r>
              <w:rPr>
                <w:rFonts w:hint="eastAsia"/>
                <w:lang w:val="en-US"/>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36.18</w:t>
            </w:r>
          </w:p>
        </w:tc>
        <w:tc>
          <w:tcPr>
            <w:tcW w:w="1512" w:type="dxa"/>
          </w:tcPr>
          <w:p>
            <w:pPr>
              <w:spacing w:line="360" w:lineRule="exact"/>
              <w:jc w:val="center"/>
              <w:rPr>
                <w:lang w:val="en-US"/>
              </w:rPr>
            </w:pPr>
            <w:r>
              <w:rPr>
                <w:rFonts w:hint="eastAsia"/>
                <w:lang w:val="en-US"/>
              </w:rPr>
              <w:t>36178</w:t>
            </w:r>
          </w:p>
        </w:tc>
        <w:tc>
          <w:tcPr>
            <w:tcW w:w="1512" w:type="dxa"/>
          </w:tcPr>
          <w:p>
            <w:pPr>
              <w:spacing w:line="360" w:lineRule="exact"/>
              <w:jc w:val="center"/>
              <w:rPr>
                <w:lang w:val="en-US"/>
              </w:rPr>
            </w:pPr>
            <w:r>
              <w:rPr>
                <w:rFonts w:hint="eastAsia"/>
                <w:lang w:val="en-US"/>
              </w:rPr>
              <w:t>-9.84</w:t>
            </w:r>
          </w:p>
        </w:tc>
        <w:tc>
          <w:tcPr>
            <w:tcW w:w="1512" w:type="dxa"/>
          </w:tcPr>
          <w:p>
            <w:pPr>
              <w:spacing w:line="360" w:lineRule="exact"/>
              <w:jc w:val="center"/>
              <w:rPr>
                <w:lang w:val="en-US"/>
              </w:rPr>
            </w:pPr>
            <w:r>
              <w:rPr>
                <w:rFonts w:hint="eastAsia"/>
                <w:lang w:val="en-US"/>
              </w:rPr>
              <w:t>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35.92</w:t>
            </w:r>
          </w:p>
        </w:tc>
        <w:tc>
          <w:tcPr>
            <w:tcW w:w="1512" w:type="dxa"/>
            <w:shd w:val="clear" w:color="auto" w:fill="F2F2F2"/>
          </w:tcPr>
          <w:p>
            <w:pPr>
              <w:spacing w:line="360" w:lineRule="exact"/>
              <w:jc w:val="center"/>
              <w:rPr>
                <w:lang w:val="en-US"/>
              </w:rPr>
            </w:pPr>
            <w:r>
              <w:rPr>
                <w:rFonts w:hint="eastAsia"/>
                <w:lang w:val="en-US"/>
              </w:rPr>
              <w:t>35925</w:t>
            </w:r>
          </w:p>
        </w:tc>
        <w:tc>
          <w:tcPr>
            <w:tcW w:w="1512" w:type="dxa"/>
            <w:shd w:val="clear" w:color="auto" w:fill="F2F2F2"/>
          </w:tcPr>
          <w:p>
            <w:pPr>
              <w:spacing w:line="360" w:lineRule="exact"/>
              <w:jc w:val="center"/>
              <w:rPr>
                <w:lang w:val="en-US"/>
              </w:rPr>
            </w:pPr>
            <w:r>
              <w:rPr>
                <w:rFonts w:hint="eastAsia"/>
                <w:lang w:val="en-US"/>
              </w:rPr>
              <w:t>-6.25</w:t>
            </w:r>
          </w:p>
        </w:tc>
        <w:tc>
          <w:tcPr>
            <w:tcW w:w="1512" w:type="dxa"/>
            <w:shd w:val="clear" w:color="auto" w:fill="F2F2F2"/>
          </w:tcPr>
          <w:p>
            <w:pPr>
              <w:spacing w:line="360" w:lineRule="exact"/>
              <w:jc w:val="center"/>
              <w:rPr>
                <w:lang w:val="en-US"/>
              </w:rPr>
            </w:pPr>
            <w:r>
              <w:rPr>
                <w:rFonts w:hint="eastAsia"/>
                <w:lang w:val="en-US"/>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第16年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35.67</w:t>
            </w:r>
          </w:p>
        </w:tc>
        <w:tc>
          <w:tcPr>
            <w:tcW w:w="1512" w:type="dxa"/>
          </w:tcPr>
          <w:p>
            <w:pPr>
              <w:spacing w:line="360" w:lineRule="exact"/>
              <w:jc w:val="center"/>
              <w:rPr>
                <w:lang w:val="en-US"/>
              </w:rPr>
            </w:pPr>
            <w:r>
              <w:rPr>
                <w:rFonts w:hint="eastAsia"/>
                <w:lang w:val="en-US"/>
              </w:rPr>
              <w:t>35673</w:t>
            </w:r>
          </w:p>
        </w:tc>
        <w:tc>
          <w:tcPr>
            <w:tcW w:w="1512" w:type="dxa"/>
          </w:tcPr>
          <w:p>
            <w:pPr>
              <w:spacing w:line="360" w:lineRule="exact"/>
              <w:jc w:val="center"/>
              <w:rPr>
                <w:lang w:val="en-US"/>
              </w:rPr>
            </w:pPr>
            <w:r>
              <w:rPr>
                <w:rFonts w:hint="eastAsia"/>
                <w:lang w:val="en-US"/>
              </w:rPr>
              <w:t>-2.68</w:t>
            </w:r>
          </w:p>
        </w:tc>
        <w:tc>
          <w:tcPr>
            <w:tcW w:w="1512" w:type="dxa"/>
          </w:tcPr>
          <w:p>
            <w:pPr>
              <w:spacing w:line="360" w:lineRule="exact"/>
              <w:jc w:val="center"/>
              <w:rPr>
                <w:lang w:val="en-US"/>
              </w:rPr>
            </w:pPr>
            <w:r>
              <w:rPr>
                <w:rFonts w:hint="eastAsia"/>
                <w:lang w:val="en-US"/>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第17年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35.42</w:t>
            </w:r>
          </w:p>
        </w:tc>
        <w:tc>
          <w:tcPr>
            <w:tcW w:w="1512" w:type="dxa"/>
            <w:shd w:val="clear" w:color="auto" w:fill="F2F2F2"/>
          </w:tcPr>
          <w:p>
            <w:pPr>
              <w:spacing w:line="360" w:lineRule="exact"/>
              <w:jc w:val="center"/>
              <w:rPr>
                <w:lang w:val="en-US"/>
              </w:rPr>
            </w:pPr>
            <w:r>
              <w:rPr>
                <w:rFonts w:hint="eastAsia"/>
                <w:lang w:val="en-US"/>
              </w:rPr>
              <w:t>35423</w:t>
            </w:r>
          </w:p>
        </w:tc>
        <w:tc>
          <w:tcPr>
            <w:tcW w:w="1512" w:type="dxa"/>
            <w:shd w:val="clear" w:color="auto" w:fill="F2F2F2"/>
          </w:tcPr>
          <w:p>
            <w:pPr>
              <w:spacing w:line="360" w:lineRule="exact"/>
              <w:jc w:val="center"/>
              <w:rPr>
                <w:lang w:val="en-US"/>
              </w:rPr>
            </w:pPr>
            <w:r>
              <w:rPr>
                <w:rFonts w:hint="eastAsia"/>
                <w:lang w:val="en-US"/>
              </w:rPr>
              <w:t>0.86</w:t>
            </w:r>
          </w:p>
        </w:tc>
        <w:tc>
          <w:tcPr>
            <w:tcW w:w="1512" w:type="dxa"/>
            <w:shd w:val="clear" w:color="auto" w:fill="F2F2F2"/>
          </w:tcPr>
          <w:p>
            <w:pPr>
              <w:spacing w:line="360" w:lineRule="exact"/>
              <w:jc w:val="center"/>
              <w:rPr>
                <w:lang w:val="en-US"/>
              </w:rPr>
            </w:pPr>
            <w:r>
              <w:rPr>
                <w:rFonts w:hint="eastAsia"/>
                <w:lang w:val="en-US"/>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第18年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35.18</w:t>
            </w:r>
          </w:p>
        </w:tc>
        <w:tc>
          <w:tcPr>
            <w:tcW w:w="1512" w:type="dxa"/>
          </w:tcPr>
          <w:p>
            <w:pPr>
              <w:spacing w:line="360" w:lineRule="exact"/>
              <w:jc w:val="center"/>
              <w:rPr>
                <w:lang w:val="en-US"/>
              </w:rPr>
            </w:pPr>
            <w:r>
              <w:rPr>
                <w:rFonts w:hint="eastAsia"/>
                <w:lang w:val="en-US"/>
              </w:rPr>
              <w:t>35175</w:t>
            </w:r>
          </w:p>
        </w:tc>
        <w:tc>
          <w:tcPr>
            <w:tcW w:w="1512" w:type="dxa"/>
          </w:tcPr>
          <w:p>
            <w:pPr>
              <w:spacing w:line="360" w:lineRule="exact"/>
              <w:jc w:val="center"/>
              <w:rPr>
                <w:lang w:val="en-US"/>
              </w:rPr>
            </w:pPr>
            <w:r>
              <w:rPr>
                <w:rFonts w:hint="eastAsia"/>
                <w:lang w:val="en-US"/>
              </w:rPr>
              <w:t>4.38</w:t>
            </w:r>
          </w:p>
        </w:tc>
        <w:tc>
          <w:tcPr>
            <w:tcW w:w="1512" w:type="dxa"/>
          </w:tcPr>
          <w:p>
            <w:pPr>
              <w:spacing w:line="360" w:lineRule="exact"/>
              <w:jc w:val="center"/>
              <w:rPr>
                <w:lang w:val="en-US"/>
              </w:rPr>
            </w:pPr>
            <w:r>
              <w:rPr>
                <w:rFonts w:hint="eastAsia"/>
                <w:lang w:val="en-US"/>
              </w:rPr>
              <w:t>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第19年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34.93</w:t>
            </w:r>
          </w:p>
        </w:tc>
        <w:tc>
          <w:tcPr>
            <w:tcW w:w="1512" w:type="dxa"/>
            <w:shd w:val="clear" w:color="auto" w:fill="F2F2F2"/>
          </w:tcPr>
          <w:p>
            <w:pPr>
              <w:spacing w:line="360" w:lineRule="exact"/>
              <w:jc w:val="center"/>
              <w:rPr>
                <w:lang w:val="en-US"/>
              </w:rPr>
            </w:pPr>
            <w:r>
              <w:rPr>
                <w:rFonts w:hint="eastAsia"/>
                <w:lang w:val="en-US"/>
              </w:rPr>
              <w:t>34929</w:t>
            </w:r>
          </w:p>
        </w:tc>
        <w:tc>
          <w:tcPr>
            <w:tcW w:w="1512" w:type="dxa"/>
            <w:shd w:val="clear" w:color="auto" w:fill="F2F2F2"/>
          </w:tcPr>
          <w:p>
            <w:pPr>
              <w:spacing w:line="360" w:lineRule="exact"/>
              <w:jc w:val="center"/>
              <w:rPr>
                <w:lang w:val="en-US"/>
              </w:rPr>
            </w:pPr>
            <w:r>
              <w:rPr>
                <w:rFonts w:hint="eastAsia"/>
                <w:lang w:val="en-US"/>
              </w:rPr>
              <w:t>7.87</w:t>
            </w:r>
          </w:p>
        </w:tc>
        <w:tc>
          <w:tcPr>
            <w:tcW w:w="1512" w:type="dxa"/>
            <w:shd w:val="clear" w:color="auto" w:fill="F2F2F2"/>
          </w:tcPr>
          <w:p>
            <w:pPr>
              <w:spacing w:line="360" w:lineRule="exact"/>
              <w:jc w:val="center"/>
              <w:rPr>
                <w:lang w:val="en-US"/>
              </w:rPr>
            </w:pPr>
            <w:r>
              <w:rPr>
                <w:rFonts w:hint="eastAsia"/>
                <w:lang w:val="en-US"/>
              </w:rPr>
              <w:t>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第20年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34.68</w:t>
            </w:r>
          </w:p>
        </w:tc>
        <w:tc>
          <w:tcPr>
            <w:tcW w:w="1512" w:type="dxa"/>
          </w:tcPr>
          <w:p>
            <w:pPr>
              <w:spacing w:line="360" w:lineRule="exact"/>
              <w:jc w:val="center"/>
              <w:rPr>
                <w:lang w:val="en-US"/>
              </w:rPr>
            </w:pPr>
            <w:r>
              <w:rPr>
                <w:rFonts w:hint="eastAsia"/>
                <w:lang w:val="en-US"/>
              </w:rPr>
              <w:t>34685</w:t>
            </w:r>
          </w:p>
        </w:tc>
        <w:tc>
          <w:tcPr>
            <w:tcW w:w="1512" w:type="dxa"/>
          </w:tcPr>
          <w:p>
            <w:pPr>
              <w:spacing w:line="360" w:lineRule="exact"/>
              <w:jc w:val="center"/>
              <w:rPr>
                <w:lang w:val="en-US"/>
              </w:rPr>
            </w:pPr>
            <w:r>
              <w:rPr>
                <w:rFonts w:hint="eastAsia"/>
                <w:lang w:val="en-US"/>
              </w:rPr>
              <w:t>11.34</w:t>
            </w:r>
          </w:p>
        </w:tc>
        <w:tc>
          <w:tcPr>
            <w:tcW w:w="1512" w:type="dxa"/>
          </w:tcPr>
          <w:p>
            <w:pPr>
              <w:spacing w:line="360" w:lineRule="exact"/>
              <w:jc w:val="center"/>
              <w:rPr>
                <w:lang w:val="en-US"/>
              </w:rPr>
            </w:pPr>
            <w:r>
              <w:rPr>
                <w:rFonts w:hint="eastAsia"/>
                <w:lang w:val="en-US"/>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第21年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34.44</w:t>
            </w:r>
          </w:p>
        </w:tc>
        <w:tc>
          <w:tcPr>
            <w:tcW w:w="1512" w:type="dxa"/>
            <w:shd w:val="clear" w:color="auto" w:fill="F2F2F2"/>
          </w:tcPr>
          <w:p>
            <w:pPr>
              <w:spacing w:line="360" w:lineRule="exact"/>
              <w:jc w:val="center"/>
              <w:rPr>
                <w:lang w:val="en-US"/>
              </w:rPr>
            </w:pPr>
            <w:r>
              <w:rPr>
                <w:rFonts w:hint="eastAsia"/>
                <w:lang w:val="en-US"/>
              </w:rPr>
              <w:t>34442</w:t>
            </w:r>
          </w:p>
        </w:tc>
        <w:tc>
          <w:tcPr>
            <w:tcW w:w="1512" w:type="dxa"/>
            <w:shd w:val="clear" w:color="auto" w:fill="F2F2F2"/>
          </w:tcPr>
          <w:p>
            <w:pPr>
              <w:spacing w:line="360" w:lineRule="exact"/>
              <w:jc w:val="center"/>
              <w:rPr>
                <w:lang w:val="en-US"/>
              </w:rPr>
            </w:pPr>
            <w:r>
              <w:rPr>
                <w:rFonts w:hint="eastAsia"/>
                <w:lang w:val="en-US"/>
              </w:rPr>
              <w:t>14.78</w:t>
            </w:r>
          </w:p>
        </w:tc>
        <w:tc>
          <w:tcPr>
            <w:tcW w:w="1512" w:type="dxa"/>
            <w:shd w:val="clear" w:color="auto" w:fill="F2F2F2"/>
          </w:tcPr>
          <w:p>
            <w:pPr>
              <w:spacing w:line="360" w:lineRule="exact"/>
              <w:jc w:val="center"/>
              <w:rPr>
                <w:lang w:val="en-US"/>
              </w:rPr>
            </w:pPr>
            <w:r>
              <w:rPr>
                <w:rFonts w:hint="eastAsia"/>
                <w:lang w:val="en-US"/>
              </w:rPr>
              <w:t>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34.20</w:t>
            </w:r>
          </w:p>
        </w:tc>
        <w:tc>
          <w:tcPr>
            <w:tcW w:w="1512" w:type="dxa"/>
          </w:tcPr>
          <w:p>
            <w:pPr>
              <w:spacing w:line="360" w:lineRule="exact"/>
              <w:jc w:val="center"/>
              <w:rPr>
                <w:lang w:val="en-US"/>
              </w:rPr>
            </w:pPr>
            <w:r>
              <w:rPr>
                <w:rFonts w:hint="eastAsia"/>
                <w:lang w:val="en-US"/>
              </w:rPr>
              <w:t>34201</w:t>
            </w:r>
          </w:p>
        </w:tc>
        <w:tc>
          <w:tcPr>
            <w:tcW w:w="1512" w:type="dxa"/>
          </w:tcPr>
          <w:p>
            <w:pPr>
              <w:spacing w:line="360" w:lineRule="exact"/>
              <w:jc w:val="center"/>
              <w:rPr>
                <w:lang w:val="en-US"/>
              </w:rPr>
            </w:pPr>
            <w:r>
              <w:rPr>
                <w:rFonts w:hint="eastAsia"/>
                <w:lang w:val="en-US"/>
              </w:rPr>
              <w:t>18.2</w:t>
            </w:r>
          </w:p>
        </w:tc>
        <w:tc>
          <w:tcPr>
            <w:tcW w:w="1512" w:type="dxa"/>
          </w:tcPr>
          <w:p>
            <w:pPr>
              <w:spacing w:line="360" w:lineRule="exact"/>
              <w:jc w:val="center"/>
              <w:rPr>
                <w:lang w:val="en-US"/>
              </w:rPr>
            </w:pPr>
            <w:r>
              <w:rPr>
                <w:rFonts w:hint="eastAsia"/>
                <w:lang w:val="en-US"/>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33.96</w:t>
            </w:r>
          </w:p>
        </w:tc>
        <w:tc>
          <w:tcPr>
            <w:tcW w:w="1512" w:type="dxa"/>
            <w:shd w:val="clear" w:color="auto" w:fill="F2F2F2"/>
          </w:tcPr>
          <w:p>
            <w:pPr>
              <w:spacing w:line="360" w:lineRule="exact"/>
              <w:jc w:val="center"/>
              <w:rPr>
                <w:lang w:val="en-US"/>
              </w:rPr>
            </w:pPr>
            <w:r>
              <w:rPr>
                <w:rFonts w:hint="eastAsia"/>
                <w:lang w:val="en-US"/>
              </w:rPr>
              <w:t>33961</w:t>
            </w:r>
          </w:p>
        </w:tc>
        <w:tc>
          <w:tcPr>
            <w:tcW w:w="1512" w:type="dxa"/>
            <w:shd w:val="clear" w:color="auto" w:fill="F2F2F2"/>
          </w:tcPr>
          <w:p>
            <w:pPr>
              <w:spacing w:line="360" w:lineRule="exact"/>
              <w:jc w:val="center"/>
              <w:rPr>
                <w:lang w:val="en-US"/>
              </w:rPr>
            </w:pPr>
            <w:r>
              <w:rPr>
                <w:rFonts w:hint="eastAsia"/>
                <w:lang w:val="en-US"/>
              </w:rPr>
              <w:t>21.6</w:t>
            </w:r>
          </w:p>
        </w:tc>
        <w:tc>
          <w:tcPr>
            <w:tcW w:w="1512" w:type="dxa"/>
            <w:shd w:val="clear" w:color="auto" w:fill="F2F2F2"/>
          </w:tcPr>
          <w:p>
            <w:pPr>
              <w:spacing w:line="360" w:lineRule="exact"/>
              <w:jc w:val="center"/>
              <w:rPr>
                <w:lang w:val="en-US"/>
              </w:rPr>
            </w:pPr>
            <w:r>
              <w:rPr>
                <w:rFonts w:hint="eastAsia"/>
                <w:lang w:val="en-US"/>
              </w:rPr>
              <w:t>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33.72</w:t>
            </w:r>
          </w:p>
        </w:tc>
        <w:tc>
          <w:tcPr>
            <w:tcW w:w="1512" w:type="dxa"/>
          </w:tcPr>
          <w:p>
            <w:pPr>
              <w:spacing w:line="360" w:lineRule="exact"/>
              <w:jc w:val="center"/>
              <w:rPr>
                <w:lang w:val="en-US"/>
              </w:rPr>
            </w:pPr>
            <w:r>
              <w:rPr>
                <w:rFonts w:hint="eastAsia"/>
                <w:lang w:val="en-US"/>
              </w:rPr>
              <w:t>33724</w:t>
            </w:r>
          </w:p>
        </w:tc>
        <w:tc>
          <w:tcPr>
            <w:tcW w:w="1512" w:type="dxa"/>
          </w:tcPr>
          <w:p>
            <w:pPr>
              <w:spacing w:line="360" w:lineRule="exact"/>
              <w:jc w:val="center"/>
              <w:rPr>
                <w:lang w:val="en-US"/>
              </w:rPr>
            </w:pPr>
            <w:r>
              <w:rPr>
                <w:rFonts w:hint="eastAsia"/>
                <w:lang w:val="en-US"/>
              </w:rPr>
              <w:t>24.97</w:t>
            </w:r>
          </w:p>
        </w:tc>
        <w:tc>
          <w:tcPr>
            <w:tcW w:w="1512" w:type="dxa"/>
          </w:tcPr>
          <w:p>
            <w:pPr>
              <w:spacing w:line="360" w:lineRule="exact"/>
              <w:jc w:val="center"/>
              <w:rPr>
                <w:lang w:val="en-US"/>
              </w:rPr>
            </w:pPr>
            <w:r>
              <w:rPr>
                <w:rFonts w:hint="eastAsia"/>
                <w:lang w:val="en-US"/>
              </w:rPr>
              <w:t>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33.49</w:t>
            </w:r>
          </w:p>
        </w:tc>
        <w:tc>
          <w:tcPr>
            <w:tcW w:w="1512" w:type="dxa"/>
            <w:shd w:val="clear" w:color="auto" w:fill="F2F2F2"/>
          </w:tcPr>
          <w:p>
            <w:pPr>
              <w:spacing w:line="360" w:lineRule="exact"/>
              <w:jc w:val="center"/>
              <w:rPr>
                <w:lang w:val="en-US"/>
              </w:rPr>
            </w:pPr>
            <w:r>
              <w:rPr>
                <w:rFonts w:hint="eastAsia"/>
                <w:lang w:val="en-US"/>
              </w:rPr>
              <w:t>33488</w:t>
            </w:r>
          </w:p>
        </w:tc>
        <w:tc>
          <w:tcPr>
            <w:tcW w:w="1512" w:type="dxa"/>
            <w:shd w:val="clear" w:color="auto" w:fill="F2F2F2"/>
          </w:tcPr>
          <w:p>
            <w:pPr>
              <w:spacing w:line="360" w:lineRule="exact"/>
              <w:jc w:val="center"/>
              <w:rPr>
                <w:lang w:val="en-US"/>
              </w:rPr>
            </w:pPr>
            <w:r>
              <w:rPr>
                <w:rFonts w:hint="eastAsia"/>
                <w:lang w:val="en-US"/>
              </w:rPr>
              <w:t>28.32</w:t>
            </w:r>
          </w:p>
        </w:tc>
        <w:tc>
          <w:tcPr>
            <w:tcW w:w="1512" w:type="dxa"/>
            <w:shd w:val="clear" w:color="auto" w:fill="F2F2F2"/>
          </w:tcPr>
          <w:p>
            <w:pPr>
              <w:spacing w:line="360" w:lineRule="exact"/>
              <w:jc w:val="center"/>
              <w:rPr>
                <w:lang w:val="en-US"/>
              </w:rPr>
            </w:pPr>
            <w:r>
              <w:rPr>
                <w:rFonts w:hint="eastAsia"/>
                <w:lang w:val="en-US"/>
              </w:rPr>
              <w:t>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12" w:type="dxa"/>
            <w:vAlign w:val="center"/>
          </w:tcPr>
          <w:p>
            <w:pPr>
              <w:spacing w:line="360" w:lineRule="exact"/>
              <w:jc w:val="center"/>
              <w:rPr>
                <w:b/>
                <w:bCs/>
                <w:sz w:val="24"/>
                <w:szCs w:val="24"/>
                <w:lang w:val="en-US"/>
              </w:rPr>
            </w:pPr>
            <w:r>
              <w:rPr>
                <w:rFonts w:hint="eastAsia"/>
                <w:b/>
                <w:bCs/>
                <w:sz w:val="24"/>
                <w:szCs w:val="24"/>
                <w:lang w:val="en-US"/>
              </w:rPr>
              <w:t>25年总计</w:t>
            </w:r>
          </w:p>
        </w:tc>
        <w:tc>
          <w:tcPr>
            <w:tcW w:w="3024" w:type="dxa"/>
            <w:gridSpan w:val="2"/>
            <w:shd w:val="clear" w:color="auto" w:fill="E65100"/>
            <w:vAlign w:val="center"/>
          </w:tcPr>
          <w:p>
            <w:pPr>
              <w:spacing w:line="360" w:lineRule="exact"/>
              <w:jc w:val="center"/>
              <w:rPr>
                <w:b/>
                <w:bCs/>
                <w:color w:val="FFFFFF"/>
                <w:sz w:val="24"/>
                <w:szCs w:val="24"/>
                <w:lang w:val="en-US"/>
              </w:rPr>
            </w:pPr>
            <w:r>
              <w:rPr>
                <w:rFonts w:hint="eastAsia"/>
                <w:b/>
                <w:bCs/>
                <w:color w:val="FFFFFF"/>
                <w:sz w:val="24"/>
                <w:szCs w:val="24"/>
                <w:lang w:val="en-US"/>
              </w:rPr>
              <w:t>914 MWh</w:t>
            </w:r>
          </w:p>
        </w:tc>
        <w:tc>
          <w:tcPr>
            <w:tcW w:w="4536" w:type="dxa"/>
            <w:gridSpan w:val="3"/>
            <w:shd w:val="clear" w:color="auto" w:fill="E65100"/>
            <w:vAlign w:val="center"/>
          </w:tcPr>
          <w:p>
            <w:pPr>
              <w:spacing w:line="360" w:lineRule="exact"/>
              <w:jc w:val="center"/>
              <w:rPr>
                <w:b/>
                <w:bCs/>
                <w:sz w:val="24"/>
                <w:szCs w:val="24"/>
                <w:lang w:val="en-US"/>
              </w:rPr>
            </w:pPr>
            <w:r>
              <w:rPr>
                <w:rFonts w:hint="eastAsia"/>
                <w:b/>
                <w:bCs/>
                <w:color w:val="FFFFFF"/>
                <w:sz w:val="24"/>
                <w:szCs w:val="24"/>
                <w:lang w:val="en-US"/>
              </w:rPr>
              <w:t>91万元</w:t>
            </w:r>
          </w:p>
        </w:tc>
      </w:tr>
      <w:bookmarkEnd w:id="73"/>
    </w:tbl>
    <w:p>
      <w:pPr>
        <w:pStyle w:val="3"/>
        <w:rPr>
          <w:lang w:val="en-US"/>
        </w:rPr>
      </w:pPr>
    </w:p>
    <w:p>
      <w:pPr>
        <w:pStyle w:val="3"/>
        <w:jc w:val="center"/>
        <w:rPr>
          <w:lang w:val="en-US"/>
        </w:rPr>
      </w:pPr>
      <w:bookmarkStart w:id="74" w:name="收益平衡图"/>
      <w:bookmarkEnd w:id="74"/>
      <w:r>
        <w:rPr>
          <w:lang w:val="en-US"/>
        </w:rPr>
        <w:drawing>
          <wp:inline distT="0" distB="0" distL="0" distR="0">
            <wp:extent cx="5667375" cy="39814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21"/>
                    <a:stretch>
                      <a:fillRect/>
                    </a:stretch>
                  </pic:blipFill>
                  <pic:spPr>
                    <a:xfrm>
                      <a:off x="0" y="0"/>
                      <a:ext cx="5667375" cy="3981450"/>
                    </a:xfrm>
                    <a:prstGeom prst="rect">
                      <a:avLst/>
                    </a:prstGeom>
                  </pic:spPr>
                </pic:pic>
              </a:graphicData>
            </a:graphic>
          </wp:inline>
        </w:drawing>
      </w:r>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13</w:t>
      </w:r>
      <w:r>
        <w:fldChar w:fldCharType="end"/>
      </w:r>
      <w:r>
        <w:rPr>
          <w:rFonts w:hint="eastAsia"/>
        </w:rPr>
        <w:t>收益平衡图</w:t>
      </w:r>
    </w:p>
    <w:p>
      <w:pPr>
        <w:rPr>
          <w:rFonts w:ascii="黑体" w:hAnsi="黑体" w:eastAsia="黑体" w:cs="宋体"/>
          <w:bCs/>
          <w:color w:val="000000"/>
          <w:szCs w:val="18"/>
          <w:lang w:val="en-US"/>
        </w:rPr>
      </w:pPr>
    </w:p>
    <w:p>
      <w:pPr>
        <w:pStyle w:val="2"/>
      </w:pPr>
      <w:bookmarkStart w:id="75" w:name="_Toc134261606"/>
      <w:r>
        <w:rPr>
          <w:rFonts w:hint="eastAsia"/>
        </w:rPr>
        <w:t>减排效益分析</w:t>
      </w:r>
      <w:bookmarkEnd w:id="75"/>
    </w:p>
    <w:p>
      <w:pPr>
        <w:pStyle w:val="3"/>
        <w:ind w:firstLine="480" w:firstLineChars="200"/>
        <w:rPr>
          <w:lang w:val="en-US"/>
        </w:rPr>
      </w:pPr>
      <w:r>
        <w:rPr>
          <w:rFonts w:hint="eastAsia"/>
          <w:lang w:val="en-US"/>
        </w:rPr>
        <w:t>光伏发电的节能减排计算对太阳能光伏发电系统的环境影响和节约能源的效果进行评价。项目建成后，根据光伏发电工程发电量，与传统火电项目相比，可计算出节约化石能源总量，及对应减排温室气体和其他污染物总量。根据《中国电力行业年度发展报告</w:t>
      </w:r>
      <w:r>
        <w:rPr>
          <w:lang w:val="en-US"/>
        </w:rPr>
        <w:t>2022》</w:t>
      </w:r>
      <w:r>
        <w:rPr>
          <w:rFonts w:hint="eastAsia"/>
          <w:lang w:val="en-US"/>
        </w:rPr>
        <w:t>中统计的单位火电发电量</w:t>
      </w:r>
      <w:r>
        <w:rPr>
          <w:lang w:val="en-US"/>
        </w:rPr>
        <w:t>CO2</w:t>
      </w:r>
      <w:r>
        <w:rPr>
          <w:rFonts w:hint="eastAsia"/>
          <w:lang w:val="en-US"/>
        </w:rPr>
        <w:t>、</w:t>
      </w:r>
      <w:r>
        <w:rPr>
          <w:lang w:val="en-US"/>
        </w:rPr>
        <w:t>SO2</w:t>
      </w:r>
      <w:r>
        <w:rPr>
          <w:rFonts w:hint="eastAsia"/>
          <w:lang w:val="en-US"/>
        </w:rPr>
        <w:t>、氮氧化物等排放量进行计算，计算结果如下表所示：</w:t>
      </w:r>
    </w:p>
    <w:p>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12</w:t>
      </w:r>
      <w:r>
        <w:fldChar w:fldCharType="end"/>
      </w:r>
      <w:r>
        <w:rPr>
          <w:rFonts w:hint="eastAsia" w:ascii="黑体" w:hAnsi="黑体" w:cs="宋体"/>
          <w:bCs/>
          <w:color w:val="000000"/>
          <w:szCs w:val="18"/>
          <w:lang w:val="en-US"/>
        </w:rPr>
        <w:t>减排效益分析</w:t>
      </w:r>
    </w:p>
    <w:tbl>
      <w:tblPr>
        <w:tblStyle w:val="70"/>
        <w:tblW w:w="8916" w:type="dxa"/>
        <w:tblInd w:w="0" w:type="dxa"/>
        <w:tblLayout w:type="fixed"/>
        <w:tblCellMar>
          <w:top w:w="0" w:type="dxa"/>
          <w:left w:w="108" w:type="dxa"/>
          <w:bottom w:w="0" w:type="dxa"/>
          <w:right w:w="108" w:type="dxa"/>
        </w:tblCellMar>
      </w:tblPr>
      <w:tblGrid>
        <w:gridCol w:w="1071"/>
        <w:gridCol w:w="1709"/>
        <w:gridCol w:w="1534"/>
        <w:gridCol w:w="1534"/>
        <w:gridCol w:w="1534"/>
        <w:gridCol w:w="1534"/>
      </w:tblGrid>
      <w:tr>
        <w:tblPrEx>
          <w:tblCellMar>
            <w:top w:w="0" w:type="dxa"/>
            <w:left w:w="108" w:type="dxa"/>
            <w:bottom w:w="0" w:type="dxa"/>
            <w:right w:w="108" w:type="dxa"/>
          </w:tblCellMar>
        </w:tblPrEx>
        <w:trPr>
          <w:trHeight w:val="490" w:hRule="atLeast"/>
        </w:trPr>
        <w:tc>
          <w:tcPr>
            <w:tcW w:w="1071" w:type="dxa"/>
            <w:shd w:val="clear" w:color="auto" w:fill="ED7D31" w:themeFill="accent2"/>
          </w:tcPr>
          <w:p>
            <w:pPr>
              <w:spacing w:line="360" w:lineRule="exact"/>
              <w:jc w:val="center"/>
              <w:rPr>
                <w:b/>
                <w:bCs/>
                <w:color w:val="FFFFFF"/>
                <w:szCs w:val="21"/>
              </w:rPr>
            </w:pPr>
            <w:bookmarkStart w:id="76" w:name="碳排放分析表" w:colFirst="0" w:colLast="6"/>
            <w:r>
              <w:rPr>
                <w:rFonts w:hint="eastAsia"/>
                <w:b/>
                <w:bCs/>
                <w:color w:val="FFFFFF"/>
                <w:szCs w:val="21"/>
              </w:rPr>
              <w:t>参数</w:t>
            </w:r>
          </w:p>
        </w:tc>
        <w:tc>
          <w:tcPr>
            <w:tcW w:w="1709" w:type="dxa"/>
            <w:shd w:val="clear" w:color="auto" w:fill="ED7D31" w:themeFill="accent2"/>
          </w:tcPr>
          <w:p>
            <w:pPr>
              <w:spacing w:line="360" w:lineRule="exact"/>
              <w:jc w:val="center"/>
              <w:rPr>
                <w:b/>
                <w:bCs/>
                <w:color w:val="FFFFFF"/>
                <w:szCs w:val="21"/>
              </w:rPr>
            </w:pPr>
            <w:r>
              <w:rPr>
                <w:b/>
                <w:bCs/>
                <w:color w:val="FFFFFF"/>
                <w:szCs w:val="21"/>
              </w:rPr>
              <w:t>换算数值</w:t>
            </w:r>
          </w:p>
        </w:tc>
        <w:tc>
          <w:tcPr>
            <w:tcW w:w="1534" w:type="dxa"/>
            <w:shd w:val="clear" w:color="auto" w:fill="ED7D31" w:themeFill="accent2"/>
          </w:tcPr>
          <w:p>
            <w:pPr>
              <w:spacing w:line="360" w:lineRule="exact"/>
              <w:jc w:val="center"/>
              <w:rPr>
                <w:b/>
                <w:bCs/>
                <w:color w:val="FFFFFF"/>
                <w:szCs w:val="21"/>
              </w:rPr>
            </w:pPr>
            <w:r>
              <w:rPr>
                <w:b/>
                <w:bCs/>
                <w:color w:val="FFFFFF"/>
                <w:szCs w:val="21"/>
              </w:rPr>
              <w:t>换算单位</w:t>
            </w:r>
          </w:p>
        </w:tc>
        <w:tc>
          <w:tcPr>
            <w:tcW w:w="1534" w:type="dxa"/>
            <w:shd w:val="clear" w:color="auto" w:fill="ED7D31" w:themeFill="accent2"/>
          </w:tcPr>
          <w:p>
            <w:pPr>
              <w:spacing w:line="360" w:lineRule="exact"/>
              <w:jc w:val="center"/>
              <w:rPr>
                <w:b/>
                <w:bCs/>
                <w:color w:val="FFFFFF"/>
                <w:szCs w:val="21"/>
              </w:rPr>
            </w:pPr>
            <w:r>
              <w:rPr>
                <w:b/>
                <w:bCs/>
                <w:color w:val="FFFFFF"/>
                <w:szCs w:val="21"/>
              </w:rPr>
              <w:t>年均值</w:t>
            </w:r>
          </w:p>
        </w:tc>
        <w:tc>
          <w:tcPr>
            <w:tcW w:w="1534" w:type="dxa"/>
            <w:shd w:val="clear" w:color="auto" w:fill="ED7D31" w:themeFill="accent2"/>
          </w:tcPr>
          <w:p>
            <w:pPr>
              <w:spacing w:line="360" w:lineRule="exact"/>
              <w:jc w:val="center"/>
              <w:rPr>
                <w:b/>
                <w:bCs/>
                <w:color w:val="FFFFFF"/>
                <w:szCs w:val="21"/>
              </w:rPr>
            </w:pPr>
            <w:r>
              <w:rPr>
                <w:b/>
                <w:bCs/>
                <w:color w:val="FFFFFF"/>
                <w:szCs w:val="21"/>
              </w:rPr>
              <w:t>25年</w:t>
            </w:r>
          </w:p>
        </w:tc>
        <w:tc>
          <w:tcPr>
            <w:tcW w:w="1534" w:type="dxa"/>
            <w:shd w:val="clear" w:color="auto" w:fill="ED7D31" w:themeFill="accent2"/>
          </w:tcPr>
          <w:p>
            <w:pPr>
              <w:spacing w:line="360" w:lineRule="exact"/>
              <w:jc w:val="center"/>
              <w:rPr>
                <w:b/>
                <w:bCs/>
                <w:color w:val="FFFFFF"/>
                <w:szCs w:val="21"/>
              </w:rPr>
            </w:pPr>
            <w:r>
              <w:rPr>
                <w:rFonts w:hint="eastAsia"/>
                <w:b/>
                <w:bCs/>
                <w:color w:val="FFFFFF"/>
                <w:szCs w:val="21"/>
              </w:rPr>
              <w:t>单位</w:t>
            </w:r>
          </w:p>
        </w:tc>
      </w:tr>
      <w:tr>
        <w:tblPrEx>
          <w:tblCellMar>
            <w:top w:w="0" w:type="dxa"/>
            <w:left w:w="108" w:type="dxa"/>
            <w:bottom w:w="0" w:type="dxa"/>
            <w:right w:w="108" w:type="dxa"/>
          </w:tblCellMar>
        </w:tblPrEx>
        <w:trPr>
          <w:trHeight w:val="344" w:hRule="atLeast"/>
        </w:trPr>
        <w:tc>
          <w:tcPr>
            <w:tcW w:w="1071" w:type="dxa"/>
            <w:shd w:val="clear" w:color="auto" w:fill="FFFFFF" w:themeFill="background1"/>
          </w:tcPr>
          <w:p>
            <w:pPr>
              <w:spacing w:line="360" w:lineRule="exact"/>
              <w:jc w:val="center"/>
              <w:rPr>
                <w:b/>
                <w:lang w:val="en-US"/>
              </w:rPr>
            </w:pPr>
            <w:r>
              <w:rPr>
                <w:rFonts w:hint="eastAsia"/>
                <w:b/>
                <w:lang w:val="en-US"/>
              </w:rPr>
              <w:t>发电量</w:t>
            </w:r>
          </w:p>
        </w:tc>
        <w:tc>
          <w:tcPr>
            <w:tcW w:w="1709" w:type="dxa"/>
            <w:shd w:val="clear" w:color="auto" w:fill="FFFFFF" w:themeFill="background1"/>
          </w:tcPr>
          <w:p>
            <w:pPr>
              <w:spacing w:line="360" w:lineRule="exact"/>
              <w:jc w:val="center"/>
              <w:rPr>
                <w:bCs/>
                <w:lang w:val="en-US"/>
              </w:rPr>
            </w:pPr>
            <w:r>
              <w:rPr>
                <w:bCs/>
                <w:lang w:val="en-US"/>
              </w:rPr>
              <w:t>-</w:t>
            </w:r>
          </w:p>
        </w:tc>
        <w:tc>
          <w:tcPr>
            <w:tcW w:w="1534" w:type="dxa"/>
            <w:shd w:val="clear" w:color="auto" w:fill="FFFFFF" w:themeFill="background1"/>
          </w:tcPr>
          <w:p>
            <w:pPr>
              <w:spacing w:line="360" w:lineRule="exact"/>
              <w:jc w:val="center"/>
              <w:rPr>
                <w:bCs/>
                <w:lang w:val="en-US"/>
              </w:rPr>
            </w:pPr>
            <w:r>
              <w:rPr>
                <w:bCs/>
                <w:lang w:val="en-US"/>
              </w:rPr>
              <w:t>-</w:t>
            </w:r>
          </w:p>
        </w:tc>
        <w:tc>
          <w:tcPr>
            <w:tcW w:w="1534" w:type="dxa"/>
            <w:shd w:val="clear" w:color="auto" w:fill="FFFFFF" w:themeFill="background1"/>
          </w:tcPr>
          <w:p>
            <w:pPr>
              <w:spacing w:line="360" w:lineRule="exact"/>
              <w:jc w:val="center"/>
              <w:rPr>
                <w:bCs/>
                <w:lang w:val="en-US"/>
              </w:rPr>
            </w:pPr>
            <w:r>
              <w:rPr>
                <w:bCs/>
                <w:lang w:val="en-US"/>
              </w:rPr>
              <w:t>36.55</w:t>
            </w:r>
          </w:p>
        </w:tc>
        <w:tc>
          <w:tcPr>
            <w:tcW w:w="1534" w:type="dxa"/>
            <w:shd w:val="clear" w:color="auto" w:fill="FFFFFF" w:themeFill="background1"/>
          </w:tcPr>
          <w:p>
            <w:pPr>
              <w:spacing w:line="360" w:lineRule="exact"/>
              <w:jc w:val="center"/>
              <w:rPr>
                <w:bCs/>
                <w:lang w:val="en-US"/>
              </w:rPr>
            </w:pPr>
            <w:r>
              <w:rPr>
                <w:bCs/>
                <w:lang w:val="en-US"/>
              </w:rPr>
              <w:t>913.78</w:t>
            </w:r>
          </w:p>
        </w:tc>
        <w:tc>
          <w:tcPr>
            <w:tcW w:w="1534" w:type="dxa"/>
            <w:shd w:val="clear" w:color="auto" w:fill="FFFFFF" w:themeFill="background1"/>
          </w:tcPr>
          <w:p>
            <w:pPr>
              <w:spacing w:line="360" w:lineRule="exact"/>
              <w:jc w:val="center"/>
              <w:rPr>
                <w:bCs/>
                <w:lang w:val="en-US"/>
              </w:rPr>
            </w:pPr>
            <w:r>
              <w:rPr>
                <w:rFonts w:hint="eastAsia"/>
                <w:bCs/>
                <w:lang w:val="en-US"/>
              </w:rPr>
              <w:t>MWh</w:t>
            </w:r>
          </w:p>
        </w:tc>
      </w:tr>
      <w:tr>
        <w:tblPrEx>
          <w:tblCellMar>
            <w:top w:w="0" w:type="dxa"/>
            <w:left w:w="108" w:type="dxa"/>
            <w:bottom w:w="0" w:type="dxa"/>
            <w:right w:w="108" w:type="dxa"/>
          </w:tblCellMar>
        </w:tblPrEx>
        <w:trPr>
          <w:trHeight w:val="367" w:hRule="atLeast"/>
        </w:trPr>
        <w:tc>
          <w:tcPr>
            <w:tcW w:w="1071" w:type="dxa"/>
            <w:shd w:val="clear" w:color="auto" w:fill="F1F1F1" w:themeFill="background1" w:themeFillShade="F2"/>
          </w:tcPr>
          <w:p>
            <w:pPr>
              <w:spacing w:line="360" w:lineRule="exact"/>
              <w:jc w:val="center"/>
              <w:rPr>
                <w:b/>
                <w:lang w:val="en-US"/>
              </w:rPr>
            </w:pPr>
            <w:r>
              <w:rPr>
                <w:rFonts w:hint="eastAsia"/>
                <w:b/>
                <w:lang w:val="en-US"/>
              </w:rPr>
              <w:t>标准煤</w:t>
            </w:r>
          </w:p>
        </w:tc>
        <w:tc>
          <w:tcPr>
            <w:tcW w:w="1709" w:type="dxa"/>
            <w:shd w:val="clear" w:color="auto" w:fill="F1F1F1" w:themeFill="background1" w:themeFillShade="F2"/>
          </w:tcPr>
          <w:p>
            <w:pPr>
              <w:spacing w:line="360" w:lineRule="exact"/>
              <w:jc w:val="center"/>
              <w:rPr>
                <w:bCs/>
                <w:lang w:val="en-US"/>
              </w:rPr>
            </w:pPr>
            <w:r>
              <w:rPr>
                <w:bCs/>
                <w:lang w:val="en-US"/>
              </w:rPr>
              <w:t>0.3015</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11.02</w:t>
            </w:r>
          </w:p>
        </w:tc>
        <w:tc>
          <w:tcPr>
            <w:tcW w:w="1534" w:type="dxa"/>
            <w:shd w:val="clear" w:color="auto" w:fill="F1F1F1" w:themeFill="background1" w:themeFillShade="F2"/>
          </w:tcPr>
          <w:p>
            <w:pPr>
              <w:spacing w:line="360" w:lineRule="exact"/>
              <w:jc w:val="center"/>
              <w:rPr>
                <w:bCs/>
                <w:lang w:val="en-US"/>
              </w:rPr>
            </w:pPr>
            <w:r>
              <w:rPr>
                <w:bCs/>
                <w:lang w:val="en-US"/>
              </w:rPr>
              <w:t>275.50</w:t>
            </w:r>
          </w:p>
        </w:tc>
        <w:tc>
          <w:tcPr>
            <w:tcW w:w="1534" w:type="dxa"/>
            <w:shd w:val="clear" w:color="auto" w:fill="F1F1F1" w:themeFill="background1" w:themeFillShade="F2"/>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FFFFF" w:themeFill="background1"/>
          </w:tcPr>
          <w:p>
            <w:pPr>
              <w:spacing w:line="360" w:lineRule="exact"/>
              <w:jc w:val="center"/>
              <w:rPr>
                <w:b/>
                <w:lang w:val="en-US"/>
              </w:rPr>
            </w:pPr>
            <w:r>
              <w:rPr>
                <w:rFonts w:hint="eastAsia"/>
                <w:b/>
                <w:lang w:val="en-US"/>
              </w:rPr>
              <w:t>电力烟尘</w:t>
            </w:r>
          </w:p>
        </w:tc>
        <w:tc>
          <w:tcPr>
            <w:tcW w:w="1709" w:type="dxa"/>
            <w:shd w:val="clear" w:color="auto" w:fill="FFFFFF" w:themeFill="background1"/>
          </w:tcPr>
          <w:p>
            <w:pPr>
              <w:spacing w:line="360" w:lineRule="exact"/>
              <w:jc w:val="center"/>
              <w:rPr>
                <w:bCs/>
                <w:lang w:val="en-US"/>
              </w:rPr>
            </w:pPr>
            <w:r>
              <w:rPr>
                <w:bCs/>
                <w:lang w:val="en-US"/>
              </w:rPr>
              <w:t>0.0022</w:t>
            </w:r>
          </w:p>
        </w:tc>
        <w:tc>
          <w:tcPr>
            <w:tcW w:w="1534" w:type="dxa"/>
            <w:shd w:val="clear" w:color="auto" w:fill="FFFFFF" w:themeFill="background1"/>
          </w:tcPr>
          <w:p>
            <w:pPr>
              <w:spacing w:line="360" w:lineRule="exact"/>
              <w:jc w:val="center"/>
              <w:rPr>
                <w:bCs/>
                <w:lang w:val="en-US"/>
              </w:rPr>
            </w:pPr>
            <w:r>
              <w:rPr>
                <w:bCs/>
                <w:lang w:val="en-US"/>
              </w:rPr>
              <w:t>kg/kWh</w:t>
            </w:r>
          </w:p>
        </w:tc>
        <w:tc>
          <w:tcPr>
            <w:tcW w:w="1534" w:type="dxa"/>
            <w:shd w:val="clear" w:color="auto" w:fill="FFFFFF" w:themeFill="background1"/>
          </w:tcPr>
          <w:p>
            <w:pPr>
              <w:spacing w:line="360" w:lineRule="exact"/>
              <w:jc w:val="center"/>
              <w:rPr>
                <w:bCs/>
                <w:lang w:val="en-US"/>
              </w:rPr>
            </w:pPr>
            <w:r>
              <w:rPr>
                <w:bCs/>
                <w:lang w:val="en-US"/>
              </w:rPr>
              <w:t>0.08</w:t>
            </w:r>
          </w:p>
        </w:tc>
        <w:tc>
          <w:tcPr>
            <w:tcW w:w="1534" w:type="dxa"/>
            <w:shd w:val="clear" w:color="auto" w:fill="FFFFFF" w:themeFill="background1"/>
          </w:tcPr>
          <w:p>
            <w:pPr>
              <w:spacing w:line="360" w:lineRule="exact"/>
              <w:jc w:val="center"/>
              <w:rPr>
                <w:bCs/>
                <w:lang w:val="en-US"/>
              </w:rPr>
            </w:pPr>
            <w:r>
              <w:rPr>
                <w:bCs/>
                <w:lang w:val="en-US"/>
              </w:rPr>
              <w:t>2.00</w:t>
            </w:r>
          </w:p>
        </w:tc>
        <w:tc>
          <w:tcPr>
            <w:tcW w:w="1534" w:type="dxa"/>
            <w:shd w:val="clear" w:color="auto" w:fill="FFFFFF" w:themeFill="background1"/>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pPr>
              <w:spacing w:line="360" w:lineRule="exact"/>
              <w:jc w:val="center"/>
              <w:rPr>
                <w:b/>
                <w:lang w:val="en-US"/>
              </w:rPr>
            </w:pPr>
            <w:r>
              <w:rPr>
                <w:b/>
                <w:lang w:val="en-US"/>
              </w:rPr>
              <w:t>CO2</w:t>
            </w:r>
          </w:p>
        </w:tc>
        <w:tc>
          <w:tcPr>
            <w:tcW w:w="1709" w:type="dxa"/>
            <w:shd w:val="clear" w:color="auto" w:fill="F1F1F1" w:themeFill="background1" w:themeFillShade="F2"/>
          </w:tcPr>
          <w:p>
            <w:pPr>
              <w:spacing w:line="360" w:lineRule="exact"/>
              <w:jc w:val="center"/>
              <w:rPr>
                <w:bCs/>
                <w:lang w:val="en-US"/>
              </w:rPr>
            </w:pPr>
            <w:r>
              <w:rPr>
                <w:bCs/>
                <w:lang w:val="en-US"/>
              </w:rPr>
              <w:t>0.828</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30.26</w:t>
            </w:r>
          </w:p>
        </w:tc>
        <w:tc>
          <w:tcPr>
            <w:tcW w:w="1534" w:type="dxa"/>
            <w:shd w:val="clear" w:color="auto" w:fill="F1F1F1" w:themeFill="background1" w:themeFillShade="F2"/>
          </w:tcPr>
          <w:p>
            <w:pPr>
              <w:spacing w:line="360" w:lineRule="exact"/>
              <w:jc w:val="center"/>
              <w:rPr>
                <w:bCs/>
                <w:lang w:val="en-US"/>
              </w:rPr>
            </w:pPr>
            <w:r>
              <w:rPr>
                <w:bCs/>
                <w:lang w:val="en-US"/>
              </w:rPr>
              <w:t>756.60</w:t>
            </w:r>
          </w:p>
        </w:tc>
        <w:tc>
          <w:tcPr>
            <w:tcW w:w="1534" w:type="dxa"/>
            <w:shd w:val="clear" w:color="auto" w:fill="F1F1F1" w:themeFill="background1" w:themeFillShade="F2"/>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67" w:hRule="atLeast"/>
        </w:trPr>
        <w:tc>
          <w:tcPr>
            <w:tcW w:w="1071" w:type="dxa"/>
            <w:shd w:val="clear" w:color="auto" w:fill="FFFFFF" w:themeFill="background1"/>
          </w:tcPr>
          <w:p>
            <w:pPr>
              <w:spacing w:line="360" w:lineRule="exact"/>
              <w:jc w:val="center"/>
              <w:rPr>
                <w:b/>
                <w:lang w:val="en-US"/>
              </w:rPr>
            </w:pPr>
            <w:r>
              <w:rPr>
                <w:b/>
                <w:lang w:val="en-US"/>
              </w:rPr>
              <w:t>SO2</w:t>
            </w:r>
          </w:p>
        </w:tc>
        <w:tc>
          <w:tcPr>
            <w:tcW w:w="1709" w:type="dxa"/>
            <w:shd w:val="clear" w:color="auto" w:fill="FFFFFF" w:themeFill="background1"/>
          </w:tcPr>
          <w:p>
            <w:pPr>
              <w:spacing w:line="360" w:lineRule="exact"/>
              <w:jc w:val="center"/>
              <w:rPr>
                <w:bCs/>
                <w:lang w:val="en-US"/>
              </w:rPr>
            </w:pPr>
            <w:r>
              <w:rPr>
                <w:bCs/>
                <w:lang w:val="en-US"/>
              </w:rPr>
              <w:t>0.0101</w:t>
            </w:r>
          </w:p>
        </w:tc>
        <w:tc>
          <w:tcPr>
            <w:tcW w:w="1534" w:type="dxa"/>
            <w:shd w:val="clear" w:color="auto" w:fill="FFFFFF" w:themeFill="background1"/>
          </w:tcPr>
          <w:p>
            <w:pPr>
              <w:spacing w:line="360" w:lineRule="exact"/>
              <w:jc w:val="center"/>
              <w:rPr>
                <w:bCs/>
                <w:lang w:val="en-US"/>
              </w:rPr>
            </w:pPr>
            <w:r>
              <w:rPr>
                <w:bCs/>
                <w:lang w:val="en-US"/>
              </w:rPr>
              <w:t>kg/kWh</w:t>
            </w:r>
          </w:p>
        </w:tc>
        <w:tc>
          <w:tcPr>
            <w:tcW w:w="1534" w:type="dxa"/>
            <w:shd w:val="clear" w:color="auto" w:fill="FFFFFF" w:themeFill="background1"/>
          </w:tcPr>
          <w:p>
            <w:pPr>
              <w:spacing w:line="360" w:lineRule="exact"/>
              <w:jc w:val="center"/>
              <w:rPr>
                <w:bCs/>
                <w:lang w:val="en-US"/>
              </w:rPr>
            </w:pPr>
            <w:r>
              <w:rPr>
                <w:bCs/>
                <w:lang w:val="en-US"/>
              </w:rPr>
              <w:t>0.37</w:t>
            </w:r>
          </w:p>
        </w:tc>
        <w:tc>
          <w:tcPr>
            <w:tcW w:w="1534" w:type="dxa"/>
            <w:shd w:val="clear" w:color="auto" w:fill="FFFFFF" w:themeFill="background1"/>
          </w:tcPr>
          <w:p>
            <w:pPr>
              <w:spacing w:line="360" w:lineRule="exact"/>
              <w:jc w:val="center"/>
              <w:rPr>
                <w:bCs/>
                <w:lang w:val="en-US"/>
              </w:rPr>
            </w:pPr>
            <w:r>
              <w:rPr>
                <w:bCs/>
                <w:lang w:val="en-US"/>
              </w:rPr>
              <w:t>9.23</w:t>
            </w:r>
          </w:p>
        </w:tc>
        <w:tc>
          <w:tcPr>
            <w:tcW w:w="1534" w:type="dxa"/>
            <w:shd w:val="clear" w:color="auto" w:fill="FFFFFF" w:themeFill="background1"/>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pPr>
              <w:spacing w:line="360" w:lineRule="exact"/>
              <w:jc w:val="center"/>
              <w:rPr>
                <w:b/>
                <w:lang w:val="en-US"/>
              </w:rPr>
            </w:pPr>
            <w:r>
              <w:rPr>
                <w:b/>
                <w:lang w:val="en-US"/>
              </w:rPr>
              <w:t>NOX</w:t>
            </w:r>
          </w:p>
        </w:tc>
        <w:tc>
          <w:tcPr>
            <w:tcW w:w="1709" w:type="dxa"/>
            <w:shd w:val="clear" w:color="auto" w:fill="F1F1F1" w:themeFill="background1" w:themeFillShade="F2"/>
          </w:tcPr>
          <w:p>
            <w:pPr>
              <w:spacing w:line="360" w:lineRule="exact"/>
              <w:jc w:val="center"/>
              <w:rPr>
                <w:bCs/>
                <w:lang w:val="en-US"/>
              </w:rPr>
            </w:pPr>
            <w:r>
              <w:rPr>
                <w:bCs/>
                <w:lang w:val="en-US"/>
              </w:rPr>
              <w:t>0.0152</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0.56</w:t>
            </w:r>
          </w:p>
        </w:tc>
        <w:tc>
          <w:tcPr>
            <w:tcW w:w="1534" w:type="dxa"/>
            <w:shd w:val="clear" w:color="auto" w:fill="F1F1F1" w:themeFill="background1" w:themeFillShade="F2"/>
          </w:tcPr>
          <w:p>
            <w:pPr>
              <w:spacing w:line="360" w:lineRule="exact"/>
              <w:jc w:val="center"/>
              <w:rPr>
                <w:bCs/>
                <w:lang w:val="en-US"/>
              </w:rPr>
            </w:pPr>
            <w:r>
              <w:rPr>
                <w:bCs/>
                <w:lang w:val="en-US"/>
              </w:rPr>
              <w:t>13.90</w:t>
            </w:r>
          </w:p>
        </w:tc>
        <w:tc>
          <w:tcPr>
            <w:tcW w:w="1534" w:type="dxa"/>
            <w:shd w:val="clear" w:color="auto" w:fill="F1F1F1" w:themeFill="background1" w:themeFillShade="F2"/>
          </w:tcPr>
          <w:p>
            <w:pPr>
              <w:spacing w:line="360" w:lineRule="exact"/>
              <w:jc w:val="center"/>
              <w:rPr>
                <w:bCs/>
                <w:lang w:val="en-US"/>
              </w:rPr>
            </w:pPr>
            <w:r>
              <w:rPr>
                <w:bCs/>
                <w:lang w:val="en-US"/>
              </w:rPr>
              <w:t>吨</w:t>
            </w:r>
          </w:p>
        </w:tc>
      </w:tr>
      <w:bookmarkEnd w:id="76"/>
    </w:tbl>
    <w:p>
      <w:pPr>
        <w:pStyle w:val="3"/>
        <w:rPr>
          <w:lang w:val="en-US"/>
        </w:rPr>
      </w:pPr>
    </w:p>
    <w:p>
      <w:pPr>
        <w:pStyle w:val="2"/>
        <w:rPr>
          <w:sz w:val="24"/>
          <w:szCs w:val="21"/>
        </w:rPr>
      </w:pPr>
      <w:bookmarkStart w:id="77" w:name="_Toc134261607"/>
      <w:r>
        <w:rPr>
          <w:rFonts w:hint="eastAsia"/>
        </w:rPr>
        <w:t>综述</w:t>
      </w:r>
      <w:bookmarkEnd w:id="77"/>
    </w:p>
    <w:p>
      <w:pPr>
        <w:adjustRightInd/>
        <w:snapToGrid/>
        <w:ind w:firstLine="480"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综上所述，本项目光伏组件</w:t>
      </w:r>
      <w:r>
        <w:rPr>
          <w:rFonts w:hint="eastAsia"/>
          <w:b/>
          <w:bCs/>
          <w:color w:val="000000" w:themeColor="text1"/>
          <w:sz w:val="24"/>
          <w:szCs w:val="22"/>
          <w14:textFill>
            <w14:solidFill>
              <w14:schemeClr w14:val="tx1"/>
            </w14:solidFill>
          </w14:textFill>
        </w:rPr>
        <w:t>安装</w:t>
      </w:r>
      <w:r>
        <w:rPr>
          <w:b/>
          <w:bCs/>
          <w:color w:val="000000" w:themeColor="text1"/>
          <w:sz w:val="24"/>
          <w:szCs w:val="22"/>
          <w14:textFill>
            <w14:solidFill>
              <w14:schemeClr w14:val="tx1"/>
            </w14:solidFill>
          </w14:textFill>
        </w:rPr>
        <w:t>面积为</w:t>
      </w:r>
      <w:bookmarkStart w:id="78" w:name="组件面积"/>
      <w:r>
        <w:rPr>
          <w:b/>
          <w:bCs/>
          <w:color w:val="ED7D31" w:themeColor="accent2"/>
          <w:sz w:val="24"/>
          <w:szCs w:val="22"/>
          <w:u w:val="single"/>
          <w14:textFill>
            <w14:solidFill>
              <w14:schemeClr w14:val="accent2"/>
            </w14:solidFill>
          </w14:textFill>
        </w:rPr>
        <w:t>318</w:t>
      </w:r>
      <w:bookmarkEnd w:id="78"/>
      <w:r>
        <w:rPr>
          <w:b/>
          <w:bCs/>
          <w:color w:val="ED7D31" w:themeColor="accent2"/>
          <w:sz w:val="24"/>
          <w:szCs w:val="22"/>
          <w14:textFill>
            <w14:solidFill>
              <w14:schemeClr w14:val="accent2"/>
            </w14:solidFill>
          </w14:textFill>
        </w:rPr>
        <w:t>m</w:t>
      </w:r>
      <w:r>
        <w:rPr>
          <w:b/>
          <w:bCs/>
          <w:color w:val="ED7D31" w:themeColor="accent2"/>
          <w:sz w:val="24"/>
          <w:szCs w:val="22"/>
          <w:vertAlign w:val="superscript"/>
          <w14:textFill>
            <w14:solidFill>
              <w14:schemeClr w14:val="accent2"/>
            </w14:solidFill>
          </w14:textFill>
        </w:rPr>
        <w:t>2</w:t>
      </w:r>
      <w:r>
        <w:rPr>
          <w:b/>
          <w:bCs/>
          <w:color w:val="000000" w:themeColor="text1"/>
          <w:sz w:val="24"/>
          <w:szCs w:val="22"/>
          <w14:textFill>
            <w14:solidFill>
              <w14:schemeClr w14:val="tx1"/>
            </w14:solidFill>
          </w14:textFill>
        </w:rPr>
        <w:t>，总装机</w:t>
      </w:r>
      <w:r>
        <w:rPr>
          <w:rFonts w:hint="eastAsia"/>
          <w:b/>
          <w:bCs/>
          <w:color w:val="000000" w:themeColor="text1"/>
          <w:sz w:val="24"/>
          <w:szCs w:val="22"/>
          <w14:textFill>
            <w14:solidFill>
              <w14:schemeClr w14:val="tx1"/>
            </w14:solidFill>
          </w14:textFill>
        </w:rPr>
        <w:t>容</w:t>
      </w:r>
      <w:r>
        <w:rPr>
          <w:b/>
          <w:bCs/>
          <w:color w:val="000000" w:themeColor="text1"/>
          <w:sz w:val="24"/>
          <w:szCs w:val="22"/>
          <w14:textFill>
            <w14:solidFill>
              <w14:schemeClr w14:val="tx1"/>
            </w14:solidFill>
          </w14:textFill>
        </w:rPr>
        <w:t>量为</w:t>
      </w:r>
      <w:bookmarkStart w:id="79" w:name="总装机量"/>
      <w:r>
        <w:rPr>
          <w:b/>
          <w:bCs/>
          <w:color w:val="ED7D31" w:themeColor="accent2"/>
          <w:sz w:val="24"/>
          <w:szCs w:val="22"/>
          <w:u w:val="single"/>
          <w14:textFill>
            <w14:solidFill>
              <w14:schemeClr w14:val="accent2"/>
            </w14:solidFill>
          </w14:textFill>
        </w:rPr>
        <w:t>50.44</w:t>
      </w:r>
      <w:bookmarkEnd w:id="79"/>
      <w:r>
        <w:rPr>
          <w:b/>
          <w:bCs/>
          <w:color w:val="ED7D31" w:themeColor="accent2"/>
          <w:sz w:val="24"/>
          <w:szCs w:val="22"/>
          <w14:textFill>
            <w14:solidFill>
              <w14:schemeClr w14:val="accent2"/>
            </w14:solidFill>
          </w14:textFill>
        </w:rPr>
        <w:t>kW</w:t>
      </w:r>
      <w:r>
        <w:rPr>
          <w:b/>
          <w:bCs/>
          <w:color w:val="000000" w:themeColor="text1"/>
          <w:sz w:val="24"/>
          <w:szCs w:val="22"/>
          <w14:textFill>
            <w14:solidFill>
              <w14:schemeClr w14:val="tx1"/>
            </w14:solidFill>
          </w14:textFill>
        </w:rPr>
        <w:t>，</w:t>
      </w:r>
      <w:r>
        <w:rPr>
          <w:rFonts w:hint="eastAsia"/>
          <w:b/>
          <w:bCs/>
          <w:color w:val="000000" w:themeColor="text1"/>
          <w:sz w:val="24"/>
          <w:szCs w:val="22"/>
          <w14:textFill>
            <w14:solidFill>
              <w14:schemeClr w14:val="tx1"/>
            </w14:solidFill>
          </w14:textFill>
        </w:rPr>
        <w:t>系统效率</w:t>
      </w:r>
      <w:bookmarkStart w:id="80" w:name="系统效率"/>
      <w:r>
        <w:rPr>
          <w:rFonts w:hint="eastAsia"/>
          <w:b/>
          <w:bCs/>
          <w:color w:val="ED7D31" w:themeColor="accent2"/>
          <w:sz w:val="24"/>
          <w:szCs w:val="22"/>
          <w:u w:val="single"/>
          <w14:textFill>
            <w14:solidFill>
              <w14:schemeClr w14:val="accent2"/>
            </w14:solidFill>
          </w14:textFill>
        </w:rPr>
        <w:t>80.9%</w:t>
      </w:r>
      <w:bookmarkEnd w:id="80"/>
      <w:r>
        <w:rPr>
          <w:rFonts w:hint="eastAsia"/>
          <w:b/>
          <w:bCs/>
          <w:color w:val="000000" w:themeColor="text1"/>
          <w:sz w:val="24"/>
          <w:szCs w:val="22"/>
          <w14:textFill>
            <w14:solidFill>
              <w14:schemeClr w14:val="tx1"/>
            </w14:solidFill>
          </w14:textFill>
        </w:rPr>
        <w:t>，首年</w:t>
      </w:r>
      <w:r>
        <w:rPr>
          <w:b/>
          <w:bCs/>
          <w:color w:val="000000" w:themeColor="text1"/>
          <w:sz w:val="24"/>
          <w:szCs w:val="22"/>
          <w14:textFill>
            <w14:solidFill>
              <w14:schemeClr w14:val="tx1"/>
            </w14:solidFill>
          </w14:textFill>
        </w:rPr>
        <w:t>发电量为</w:t>
      </w:r>
      <w:bookmarkStart w:id="81" w:name="全年总发电量"/>
      <w:r>
        <w:rPr>
          <w:b/>
          <w:bCs/>
          <w:color w:val="ED7D31" w:themeColor="accent2"/>
          <w:sz w:val="24"/>
          <w:szCs w:val="22"/>
          <w:u w:val="single"/>
          <w14:textFill>
            <w14:solidFill>
              <w14:schemeClr w14:val="accent2"/>
            </w14:solidFill>
          </w14:textFill>
        </w:rPr>
        <w:t>41.4</w:t>
      </w:r>
      <w:bookmarkEnd w:id="81"/>
      <w:r>
        <w:rPr>
          <w:b/>
          <w:bCs/>
          <w:color w:val="ED7D31" w:themeColor="accent2"/>
          <w:sz w:val="24"/>
          <w:szCs w:val="22"/>
          <w14:textFill>
            <w14:solidFill>
              <w14:schemeClr w14:val="accent2"/>
            </w14:solidFill>
          </w14:textFill>
        </w:rPr>
        <w:t>MWh</w:t>
      </w:r>
      <w:r>
        <w:rPr>
          <w:rFonts w:eastAsiaTheme="minorEastAsia"/>
          <w:b/>
          <w:bCs/>
          <w:color w:val="000000" w:themeColor="text1"/>
          <w:sz w:val="24"/>
          <w:szCs w:val="32"/>
          <w:lang w:val="en-US"/>
          <w14:textFill>
            <w14:solidFill>
              <w14:schemeClr w14:val="tx1"/>
            </w14:solidFill>
          </w14:textFill>
        </w:rPr>
        <w:t>。</w:t>
      </w:r>
      <w:r>
        <w:rPr>
          <w:rFonts w:hint="eastAsia"/>
          <w:b/>
          <w:bCs/>
          <w:color w:val="000000" w:themeColor="text1"/>
          <w:sz w:val="24"/>
          <w:szCs w:val="22"/>
          <w14:textFill>
            <w14:solidFill>
              <w14:schemeClr w14:val="tx1"/>
            </w14:solidFill>
          </w14:textFill>
        </w:rPr>
        <w:t>25年预计总发电量</w:t>
      </w:r>
      <w:bookmarkStart w:id="82" w:name="发电量25年"/>
      <w:r>
        <w:rPr>
          <w:rFonts w:hint="eastAsia"/>
          <w:b/>
          <w:bCs/>
          <w:color w:val="ED7D31" w:themeColor="accent2"/>
          <w:sz w:val="24"/>
          <w:szCs w:val="22"/>
          <w:u w:val="single"/>
          <w14:textFill>
            <w14:solidFill>
              <w14:schemeClr w14:val="accent2"/>
            </w14:solidFill>
          </w14:textFill>
        </w:rPr>
        <w:t>913.8</w:t>
      </w:r>
      <w:bookmarkEnd w:id="82"/>
      <w:r>
        <w:rPr>
          <w:b/>
          <w:bCs/>
          <w:color w:val="ED7D31" w:themeColor="accent2"/>
          <w:sz w:val="24"/>
          <w:szCs w:val="22"/>
          <w14:textFill>
            <w14:solidFill>
              <w14:schemeClr w14:val="accent2"/>
            </w14:solidFill>
          </w14:textFill>
        </w:rPr>
        <w:t>MWh</w:t>
      </w:r>
      <w:r>
        <w:rPr>
          <w:rFonts w:hint="eastAsia"/>
          <w:b/>
          <w:bCs/>
          <w:color w:val="000000" w:themeColor="text1"/>
          <w:sz w:val="24"/>
          <w:szCs w:val="22"/>
          <w14:textFill>
            <w14:solidFill>
              <w14:schemeClr w14:val="tx1"/>
            </w14:solidFill>
          </w14:textFill>
        </w:rPr>
        <w:t>，投资</w:t>
      </w:r>
      <w:bookmarkStart w:id="83" w:name="总投资"/>
      <w:r>
        <w:rPr>
          <w:rFonts w:hint="eastAsia"/>
          <w:b/>
          <w:bCs/>
          <w:color w:val="ED7D31" w:themeColor="accent2"/>
          <w:sz w:val="24"/>
          <w:szCs w:val="22"/>
          <w:u w:val="single"/>
          <w14:textFill>
            <w14:solidFill>
              <w14:schemeClr w14:val="accent2"/>
            </w14:solidFill>
          </w14:textFill>
        </w:rPr>
        <w:t>63.05</w:t>
      </w:r>
      <w:bookmarkEnd w:id="83"/>
      <w:r>
        <w:rPr>
          <w:rFonts w:hint="eastAsia"/>
          <w:b/>
          <w:bCs/>
          <w:color w:val="ED7D31" w:themeColor="accent2"/>
          <w:sz w:val="24"/>
          <w:szCs w:val="22"/>
          <w14:textFill>
            <w14:solidFill>
              <w14:schemeClr w14:val="accent2"/>
            </w14:solidFill>
          </w14:textFill>
        </w:rPr>
        <w:t>万</w:t>
      </w:r>
      <w:r>
        <w:rPr>
          <w:rFonts w:hint="eastAsia"/>
          <w:b/>
          <w:bCs/>
          <w:color w:val="000000" w:themeColor="text1"/>
          <w:sz w:val="24"/>
          <w:szCs w:val="22"/>
          <w14:textFill>
            <w14:solidFill>
              <w14:schemeClr w14:val="tx1"/>
            </w14:solidFill>
          </w14:textFill>
        </w:rPr>
        <w:t>，收益</w:t>
      </w:r>
      <w:bookmarkStart w:id="84" w:name="总收益"/>
      <w:r>
        <w:rPr>
          <w:rFonts w:hint="eastAsia"/>
          <w:b/>
          <w:bCs/>
          <w:color w:val="ED7D31" w:themeColor="accent2"/>
          <w:sz w:val="24"/>
          <w:szCs w:val="22"/>
          <w:u w:val="single"/>
          <w14:textFill>
            <w14:solidFill>
              <w14:schemeClr w14:val="accent2"/>
            </w14:solidFill>
          </w14:textFill>
        </w:rPr>
        <w:t>91.38</w:t>
      </w:r>
      <w:bookmarkEnd w:id="84"/>
      <w:r>
        <w:rPr>
          <w:rFonts w:hint="eastAsia"/>
          <w:b/>
          <w:bCs/>
          <w:color w:val="ED7D31" w:themeColor="accent2"/>
          <w:sz w:val="24"/>
          <w:szCs w:val="22"/>
          <w14:textFill>
            <w14:solidFill>
              <w14:schemeClr w14:val="accent2"/>
            </w14:solidFill>
          </w14:textFill>
        </w:rPr>
        <w:t>万元</w:t>
      </w:r>
      <w:r>
        <w:rPr>
          <w:rFonts w:hint="eastAsia"/>
          <w:b/>
          <w:bCs/>
          <w:color w:val="000000" w:themeColor="text1"/>
          <w:sz w:val="24"/>
          <w:szCs w:val="22"/>
          <w14:textFill>
            <w14:solidFill>
              <w14:schemeClr w14:val="tx1"/>
            </w14:solidFill>
          </w14:textFill>
        </w:rPr>
        <w:t>，减排二氧化碳约</w:t>
      </w:r>
      <w:bookmarkStart w:id="85" w:name="二氧化碳减排量"/>
      <w:r>
        <w:rPr>
          <w:b/>
          <w:bCs/>
          <w:color w:val="ED7D31" w:themeColor="accent2"/>
          <w:sz w:val="24"/>
          <w:szCs w:val="22"/>
          <w:u w:val="single"/>
          <w14:textFill>
            <w14:solidFill>
              <w14:schemeClr w14:val="accent2"/>
            </w14:solidFill>
          </w14:textFill>
        </w:rPr>
        <w:t>756.6</w:t>
      </w:r>
      <w:bookmarkEnd w:id="85"/>
      <w:r>
        <w:rPr>
          <w:rFonts w:hint="eastAsia"/>
          <w:b/>
          <w:bCs/>
          <w:color w:val="ED7D31" w:themeColor="accent2"/>
          <w:sz w:val="24"/>
          <w:szCs w:val="22"/>
          <w14:textFill>
            <w14:solidFill>
              <w14:schemeClr w14:val="accent2"/>
            </w14:solidFill>
          </w14:textFill>
        </w:rPr>
        <w:t>吨</w:t>
      </w:r>
      <w:r>
        <w:rPr>
          <w:rFonts w:hint="eastAsia"/>
          <w:b/>
          <w:bCs/>
          <w:color w:val="000000" w:themeColor="text1"/>
          <w:sz w:val="24"/>
          <w:szCs w:val="22"/>
          <w14:textFill>
            <w14:solidFill>
              <w14:schemeClr w14:val="tx1"/>
            </w14:solidFill>
          </w14:textFill>
        </w:rPr>
        <w:t>。</w:t>
      </w:r>
    </w:p>
    <w:p>
      <w:pPr>
        <w:adjustRightInd/>
        <w:snapToGrid/>
        <w:rPr>
          <w:sz w:val="24"/>
          <w:szCs w:val="21"/>
          <w:lang w:val="en-US"/>
        </w:rPr>
        <w:sectPr>
          <w:footerReference r:id="rId9" w:type="default"/>
          <w:pgSz w:w="11906" w:h="16838"/>
          <w:pgMar w:top="1440" w:right="1418" w:bottom="1440" w:left="1418" w:header="851" w:footer="992" w:gutter="0"/>
          <w:pgNumType w:start="1"/>
          <w:cols w:space="425" w:num="1"/>
          <w:docGrid w:type="lines" w:linePitch="312" w:charSpace="0"/>
        </w:sectPr>
      </w:pPr>
    </w:p>
    <w:p>
      <w:pPr>
        <w:pStyle w:val="2"/>
        <w:numPr>
          <w:ilvl w:val="0"/>
          <w:numId w:val="0"/>
        </w:numPr>
        <w:ind w:left="420"/>
      </w:pPr>
      <w:bookmarkStart w:id="86" w:name="_Toc134261608"/>
      <w:r>
        <w:rPr>
          <w:rFonts w:hint="eastAsia"/>
        </w:rPr>
        <w:t>附录</w:t>
      </w:r>
      <w:bookmarkEnd w:id="86"/>
    </w:p>
    <w:tbl>
      <w:tblPr>
        <w:tblStyle w:val="78"/>
        <w:tblW w:w="0" w:type="auto"/>
        <w:tblInd w:w="426"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6"/>
        <w:gridCol w:w="650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bottom w:val="single" w:color="7E7E7E" w:themeColor="text1" w:themeTint="80" w:sz="4" w:space="0"/>
              <w:insideH w:val="single" w:sz="4" w:space="0"/>
            </w:tcBorders>
          </w:tcPr>
          <w:p>
            <w:pPr>
              <w:pStyle w:val="3"/>
              <w:rPr>
                <w:b/>
                <w:bCs/>
                <w:color w:val="000000" w:themeColor="text1"/>
                <w:sz w:val="20"/>
                <w:szCs w:val="18"/>
                <w:lang w:val="en-US"/>
                <w14:textFill>
                  <w14:solidFill>
                    <w14:schemeClr w14:val="tx1"/>
                  </w14:solidFill>
                </w14:textFill>
              </w:rPr>
            </w:pPr>
            <w:r>
              <w:rPr>
                <w:rFonts w:hint="eastAsia"/>
                <w:b/>
                <w:bCs/>
                <w:color w:val="000000" w:themeColor="text1"/>
                <w:sz w:val="20"/>
                <w:szCs w:val="18"/>
                <w:lang w:val="en-US"/>
                <w14:textFill>
                  <w14:solidFill>
                    <w14:schemeClr w14:val="tx1"/>
                  </w14:solidFill>
                </w14:textFill>
              </w:rPr>
              <w:t>名词</w:t>
            </w:r>
          </w:p>
        </w:tc>
        <w:tc>
          <w:tcPr>
            <w:tcW w:w="6508" w:type="dxa"/>
            <w:tcBorders>
              <w:bottom w:val="single" w:color="7E7E7E" w:themeColor="text1" w:themeTint="80" w:sz="4" w:space="0"/>
              <w:insideH w:val="single" w:sz="4" w:space="0"/>
            </w:tcBorders>
          </w:tcPr>
          <w:p>
            <w:pPr>
              <w:pStyle w:val="3"/>
              <w:rPr>
                <w:b/>
                <w:bCs/>
                <w:color w:val="000000" w:themeColor="text1"/>
                <w:sz w:val="20"/>
                <w:szCs w:val="18"/>
                <w:lang w:val="en-US"/>
                <w14:textFill>
                  <w14:solidFill>
                    <w14:schemeClr w14:val="tx1"/>
                  </w14:solidFill>
                </w14:textFill>
              </w:rPr>
            </w:pPr>
            <w:r>
              <w:rPr>
                <w:rFonts w:hint="eastAsia"/>
                <w:b/>
                <w:bCs/>
                <w:color w:val="000000" w:themeColor="text1"/>
                <w:sz w:val="20"/>
                <w:szCs w:val="18"/>
                <w:lang w:val="en-US"/>
                <w14:textFill>
                  <w14:solidFill>
                    <w14:schemeClr w14:val="tx1"/>
                  </w14:solidFill>
                </w14:textFill>
              </w:rPr>
              <w:t>解释</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峰值功率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组件在标准测试条件下提供的功率（</w:t>
            </w:r>
            <w:r>
              <w:rPr>
                <w:color w:val="7F7F7F" w:themeColor="background1" w:themeShade="80"/>
                <w:sz w:val="18"/>
                <w:szCs w:val="18"/>
                <w:lang w:val="en-US"/>
              </w:rPr>
              <w:t>Wp为单位）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装机容量</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光伏发电系统采用的光伏组件的标称功率之和，单位是峰瓦（Wp）</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日照时数</w:t>
            </w:r>
          </w:p>
        </w:tc>
        <w:tc>
          <w:tcPr>
            <w:tcW w:w="6508" w:type="dxa"/>
            <w:tcBorders>
              <w:top w:val="single" w:color="7E7E7E" w:themeColor="text1" w:themeTint="80" w:sz="4" w:space="0"/>
              <w:bottom w:val="single" w:color="7E7E7E" w:themeColor="text1" w:themeTint="80" w:sz="4" w:space="0"/>
              <w:insideH w:val="single" w:sz="4" w:space="0"/>
            </w:tcBorders>
          </w:tcPr>
          <w:p>
            <w:pPr>
              <w:rPr>
                <w:color w:val="7F7F7F" w:themeColor="background1" w:themeShade="80"/>
                <w:sz w:val="18"/>
                <w:szCs w:val="18"/>
                <w:lang w:val="en-US"/>
              </w:rPr>
            </w:pPr>
            <w:r>
              <w:rPr>
                <w:rFonts w:hint="eastAsia"/>
                <w:color w:val="7F7F7F" w:themeColor="background1" w:themeShade="80"/>
                <w:sz w:val="18"/>
                <w:szCs w:val="18"/>
                <w:lang w:val="en-US"/>
              </w:rPr>
              <w:t>太阳直接照射地面的时数，地面受到太阳直接辐射辐照度大于等于120</w:t>
            </w:r>
            <w:r>
              <w:rPr>
                <w:color w:val="7F7F7F" w:themeColor="background1" w:themeShade="80"/>
                <w:sz w:val="18"/>
                <w:szCs w:val="18"/>
                <w:lang w:val="en-US"/>
              </w:rPr>
              <w:t>W</w:t>
            </w:r>
            <w:r>
              <w:rPr>
                <w:rFonts w:hint="eastAsia"/>
                <w:color w:val="7F7F7F" w:themeColor="background1" w:themeShade="80"/>
                <w:sz w:val="18"/>
                <w:szCs w:val="18"/>
                <w:lang w:val="en-US"/>
              </w:rPr>
              <w:t>/m</w:t>
            </w:r>
            <w:r>
              <w:rPr>
                <w:rFonts w:hint="eastAsia"/>
                <w:color w:val="7F7F7F" w:themeColor="background1" w:themeShade="80"/>
                <w:sz w:val="18"/>
                <w:szCs w:val="18"/>
                <w:vertAlign w:val="superscript"/>
                <w:lang w:val="en-US"/>
              </w:rPr>
              <w:t>2</w:t>
            </w:r>
            <w:r>
              <w:rPr>
                <w:rFonts w:hint="eastAsia"/>
                <w:color w:val="7F7F7F" w:themeColor="background1" w:themeShade="80"/>
                <w:sz w:val="18"/>
                <w:szCs w:val="18"/>
                <w:lang w:val="en-US"/>
              </w:rPr>
              <w:t>的累计时间，以小时为单位。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峰值日照时数</w:t>
            </w:r>
          </w:p>
        </w:tc>
        <w:tc>
          <w:tcPr>
            <w:tcW w:w="6508" w:type="dxa"/>
          </w:tcPr>
          <w:p>
            <w:pPr>
              <w:rPr>
                <w:color w:val="7F7F7F" w:themeColor="background1" w:themeShade="80"/>
                <w:sz w:val="18"/>
                <w:szCs w:val="18"/>
                <w:lang w:val="en-US"/>
              </w:rPr>
            </w:pPr>
            <w:r>
              <w:rPr>
                <w:rFonts w:hint="eastAsia"/>
                <w:color w:val="7F7F7F" w:themeColor="background1" w:themeShade="80"/>
                <w:sz w:val="18"/>
                <w:szCs w:val="18"/>
                <w:lang w:val="en-US"/>
              </w:rPr>
              <w:t>一段时间内辐照度积分总量相当于辐照度1k</w:t>
            </w:r>
            <w:r>
              <w:rPr>
                <w:color w:val="7F7F7F" w:themeColor="background1" w:themeShade="80"/>
                <w:sz w:val="18"/>
                <w:szCs w:val="18"/>
                <w:lang w:val="en-US"/>
              </w:rPr>
              <w:t>W</w:t>
            </w:r>
            <w:r>
              <w:rPr>
                <w:rFonts w:hint="eastAsia"/>
                <w:color w:val="7F7F7F" w:themeColor="background1" w:themeShade="80"/>
                <w:sz w:val="18"/>
                <w:szCs w:val="18"/>
                <w:lang w:val="en-US"/>
              </w:rPr>
              <w:t>/m</w:t>
            </w:r>
            <w:r>
              <w:rPr>
                <w:rFonts w:hint="eastAsia"/>
                <w:color w:val="7F7F7F" w:themeColor="background1" w:themeShade="80"/>
                <w:sz w:val="18"/>
                <w:szCs w:val="18"/>
                <w:vertAlign w:val="superscript"/>
                <w:lang w:val="en-US"/>
              </w:rPr>
              <w:t>2</w:t>
            </w:r>
            <w:r>
              <w:rPr>
                <w:rFonts w:hint="eastAsia"/>
                <w:color w:val="7F7F7F" w:themeColor="background1" w:themeShade="80"/>
                <w:sz w:val="18"/>
                <w:szCs w:val="18"/>
                <w:lang w:val="en-US"/>
              </w:rPr>
              <w:t>的光源所持续照射的时间，以小时为单位。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逆变器效率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在规定的工作条件下输出功率与输入功率之比。例如一台逆变器输入了</w:t>
            </w:r>
            <w:r>
              <w:rPr>
                <w:color w:val="7F7F7F" w:themeColor="background1" w:themeShade="80"/>
                <w:sz w:val="18"/>
                <w:szCs w:val="18"/>
                <w:lang w:val="en-US"/>
              </w:rPr>
              <w:t>1000W的直流电，输出了900W的交流电流，那样它的效率便是90％。</w:t>
            </w:r>
            <w:r>
              <w:rPr>
                <w:rFonts w:hint="eastAsia"/>
                <w:color w:val="7F7F7F" w:themeColor="background1" w:themeShade="80"/>
                <w:sz w:val="18"/>
                <w:szCs w:val="18"/>
                <w:lang w:val="en-US"/>
              </w:rPr>
              <w:t>最大效率是指逆变器在实验室环境下</w:t>
            </w:r>
            <w:r>
              <w:rPr>
                <w:color w:val="7F7F7F" w:themeColor="background1" w:themeShade="80"/>
                <w:sz w:val="18"/>
                <w:szCs w:val="18"/>
                <w:lang w:val="en-US"/>
              </w:rPr>
              <w:t>，测得的效率最高值。</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 xml:space="preserve"> MPPT数量</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最大功率点跟踪</w:t>
            </w:r>
            <w:r>
              <w:rPr>
                <w:color w:val="7F7F7F" w:themeColor="background1" w:themeShade="80"/>
                <w:sz w:val="18"/>
                <w:szCs w:val="18"/>
                <w:lang w:val="en-US"/>
              </w:rPr>
              <w:t>（Maximum Power Point Tracking，简称MPPT）根据外界不同的环境温度、光照强度等特性来调节光伏阵列的输出功率，使得光伏阵列始终输出最大功率。</w:t>
            </w:r>
          </w:p>
          <w:p>
            <w:pPr>
              <w:pStyle w:val="3"/>
              <w:rPr>
                <w:color w:val="7F7F7F" w:themeColor="background1" w:themeShade="80"/>
                <w:sz w:val="18"/>
                <w:szCs w:val="18"/>
                <w:lang w:val="en-US"/>
              </w:rPr>
            </w:pPr>
            <w:r>
              <w:rPr>
                <w:rFonts w:hint="eastAsia"/>
                <w:color w:val="7F7F7F" w:themeColor="background1" w:themeShade="80"/>
                <w:sz w:val="18"/>
                <w:szCs w:val="18"/>
                <w:lang w:val="en-US"/>
              </w:rPr>
              <w:t>通过增加</w:t>
            </w:r>
            <w:r>
              <w:rPr>
                <w:color w:val="7F7F7F" w:themeColor="background1" w:themeShade="80"/>
                <w:sz w:val="18"/>
                <w:szCs w:val="18"/>
                <w:lang w:val="en-US"/>
              </w:rPr>
              <w:t>MPPT数量，对光伏阵列进行并联解耦甚至串联解耦，一定程度上可以解决组件失配导致的发电量降低。</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线路损耗效率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光伏方阵到逆变器。应</w:t>
            </w:r>
            <w:r>
              <w:rPr>
                <w:color w:val="7F7F7F" w:themeColor="background1" w:themeShade="80"/>
                <w:sz w:val="18"/>
                <w:szCs w:val="18"/>
                <w:lang w:val="en-US"/>
              </w:rPr>
              <w:t>尽量减小这种损耗</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光伏组件表面污染率</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光伏组件表面由于受到灰尘或者其他污垢蒙蔽而产生的遮光影响。取值与环境清洁度和组件清洗方案有关。</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组件衰减率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光伏组件运行一段时间后，在标准测试环境下最大输出功率和投产运行初始最大输出功率的比值。多晶硅、单晶硅、薄膜电池，首年衰减不超过2.5%、3%、5%，之后每年衰减不超过0.7%</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cs="宋体"/>
                <w:b/>
                <w:bCs/>
                <w:color w:val="7F7F7F" w:themeColor="background1" w:themeShade="80"/>
                <w:sz w:val="18"/>
                <w:szCs w:val="18"/>
              </w:rPr>
              <w:t>温度修正系数</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光伏组件工作温度对其输出功率具有很大的影响，高工作温度会导致功率损耗。</w:t>
            </w:r>
          </w:p>
        </w:tc>
      </w:tr>
    </w:tbl>
    <w:p>
      <w:pPr>
        <w:pStyle w:val="3"/>
        <w:ind w:firstLine="480"/>
        <w:rPr>
          <w:lang w:val="en-US"/>
        </w:rPr>
      </w:pPr>
    </w:p>
    <w:p>
      <w:pPr>
        <w:pStyle w:val="3"/>
        <w:ind w:firstLine="480"/>
        <w:rPr>
          <w:lang w:val="en-US"/>
        </w:rPr>
      </w:pPr>
      <w:r>
        <w:rPr>
          <w:rFonts w:hint="eastAsia"/>
          <w:lang w:val="en-US"/>
        </w:rPr>
        <w:t xml:space="preserve"> </w:t>
      </w:r>
      <w:r>
        <w:rPr>
          <w:lang w:val="en-US"/>
        </w:rPr>
        <w:t xml:space="preserve">    </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3</w:t>
    </w:r>
    <w:r>
      <w:fldChar w:fldCharType="end"/>
    </w:r>
    <w:r>
      <w:tab/>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16</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19</w:instrText>
    </w:r>
    <w:r>
      <w:fldChar w:fldCharType="end"/>
    </w:r>
    <w:r>
      <w:instrText xml:space="preserve">-2  \* Arabic  \* MERGEFORMAT </w:instrText>
    </w:r>
    <w:r>
      <w:fldChar w:fldCharType="separate"/>
    </w:r>
    <w:r>
      <w:rPr>
        <w:b/>
      </w:rPr>
      <w:t>17</w:t>
    </w:r>
    <w:r>
      <w:fldChar w:fldCharType="end"/>
    </w:r>
    <w:r>
      <w:tab/>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2"/>
      </w:pBdr>
      <w:jc w:val="right"/>
      <w:rPr>
        <w:sz w:val="16"/>
        <w:szCs w:val="16"/>
      </w:rPr>
    </w:pPr>
    <w:r>
      <w:rPr>
        <w:lang w:val="en-US"/>
      </w:rPr>
      <w:drawing>
        <wp:anchor distT="0" distB="0" distL="114300" distR="114300" simplePos="0" relativeHeight="251659264" behindDoc="0" locked="0" layoutInCell="1" allowOverlap="1">
          <wp:simplePos x="0" y="0"/>
          <wp:positionH relativeFrom="column">
            <wp:posOffset>40640</wp:posOffset>
          </wp:positionH>
          <wp:positionV relativeFrom="page">
            <wp:posOffset>517525</wp:posOffset>
          </wp:positionV>
          <wp:extent cx="971550" cy="2571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anchor>
      </w:drawing>
    </w:r>
    <w:r>
      <w:rPr>
        <w:rFonts w:hint="eastAsia"/>
      </w:rPr>
      <w:t xml:space="preserve">       </w:t>
    </w:r>
    <w:r>
      <w:t xml:space="preserve">            </w:t>
    </w:r>
    <w:r>
      <w:rPr>
        <w:rFonts w:hint="eastAsia"/>
      </w:rPr>
      <w:t xml:space="preserve">     </w:t>
    </w:r>
    <w:r>
      <w:t xml:space="preserve">               </w:t>
    </w:r>
    <w:r>
      <w:rPr>
        <w:rFonts w:hint="eastAsia"/>
        <w:sz w:val="16"/>
        <w:szCs w:val="16"/>
      </w:rPr>
      <w:t>可再生能源利用分析报告——光伏发电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sz w:val="28"/>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2051081A"/>
    <w:multiLevelType w:val="multilevel"/>
    <w:tmpl w:val="2051081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4B00D90"/>
    <w:multiLevelType w:val="multilevel"/>
    <w:tmpl w:val="34B00D9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7EB77570"/>
    <w:multiLevelType w:val="multilevel"/>
    <w:tmpl w:val="7EB77570"/>
    <w:lvl w:ilvl="0" w:tentative="0">
      <w:start w:val="1"/>
      <w:numFmt w:val="decimal"/>
      <w:lvlText w:val="%1."/>
      <w:lvlJc w:val="left"/>
      <w:pPr>
        <w:ind w:left="711" w:hanging="440"/>
      </w:pPr>
    </w:lvl>
    <w:lvl w:ilvl="1" w:tentative="0">
      <w:start w:val="1"/>
      <w:numFmt w:val="lowerLetter"/>
      <w:lvlText w:val="%2)"/>
      <w:lvlJc w:val="left"/>
      <w:pPr>
        <w:ind w:left="1151" w:hanging="440"/>
      </w:pPr>
    </w:lvl>
    <w:lvl w:ilvl="2" w:tentative="0">
      <w:start w:val="1"/>
      <w:numFmt w:val="lowerRoman"/>
      <w:lvlText w:val="%3."/>
      <w:lvlJc w:val="right"/>
      <w:pPr>
        <w:ind w:left="1591" w:hanging="440"/>
      </w:pPr>
    </w:lvl>
    <w:lvl w:ilvl="3" w:tentative="0">
      <w:start w:val="1"/>
      <w:numFmt w:val="decimal"/>
      <w:lvlText w:val="%4."/>
      <w:lvlJc w:val="left"/>
      <w:pPr>
        <w:ind w:left="2031" w:hanging="440"/>
      </w:pPr>
    </w:lvl>
    <w:lvl w:ilvl="4" w:tentative="0">
      <w:start w:val="1"/>
      <w:numFmt w:val="lowerLetter"/>
      <w:lvlText w:val="%5)"/>
      <w:lvlJc w:val="left"/>
      <w:pPr>
        <w:ind w:left="2471" w:hanging="440"/>
      </w:pPr>
    </w:lvl>
    <w:lvl w:ilvl="5" w:tentative="0">
      <w:start w:val="1"/>
      <w:numFmt w:val="lowerRoman"/>
      <w:lvlText w:val="%6."/>
      <w:lvlJc w:val="right"/>
      <w:pPr>
        <w:ind w:left="2911" w:hanging="440"/>
      </w:pPr>
    </w:lvl>
    <w:lvl w:ilvl="6" w:tentative="0">
      <w:start w:val="1"/>
      <w:numFmt w:val="decimal"/>
      <w:lvlText w:val="%7."/>
      <w:lvlJc w:val="left"/>
      <w:pPr>
        <w:ind w:left="3351" w:hanging="440"/>
      </w:pPr>
    </w:lvl>
    <w:lvl w:ilvl="7" w:tentative="0">
      <w:start w:val="1"/>
      <w:numFmt w:val="lowerLetter"/>
      <w:lvlText w:val="%8)"/>
      <w:lvlJc w:val="left"/>
      <w:pPr>
        <w:ind w:left="3791" w:hanging="440"/>
      </w:pPr>
    </w:lvl>
    <w:lvl w:ilvl="8" w:tentative="0">
      <w:start w:val="1"/>
      <w:numFmt w:val="lowerRoman"/>
      <w:lvlText w:val="%9."/>
      <w:lvlJc w:val="right"/>
      <w:pPr>
        <w:ind w:left="4231" w:hanging="44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WM4M2QyY2VlYmZmZDBiNDIwYmZlMmYxOWZiOGIifQ=="/>
  </w:docVars>
  <w:rsids>
    <w:rsidRoot w:val="000D2F26"/>
    <w:rsid w:val="00001767"/>
    <w:rsid w:val="00003DC1"/>
    <w:rsid w:val="000050E7"/>
    <w:rsid w:val="0000607E"/>
    <w:rsid w:val="00010C31"/>
    <w:rsid w:val="00010DA1"/>
    <w:rsid w:val="00013E99"/>
    <w:rsid w:val="000170F4"/>
    <w:rsid w:val="00022F54"/>
    <w:rsid w:val="00022FE4"/>
    <w:rsid w:val="000246E6"/>
    <w:rsid w:val="00025985"/>
    <w:rsid w:val="00027F69"/>
    <w:rsid w:val="0003015C"/>
    <w:rsid w:val="00032701"/>
    <w:rsid w:val="0003339E"/>
    <w:rsid w:val="00035337"/>
    <w:rsid w:val="00037A4C"/>
    <w:rsid w:val="00040D6F"/>
    <w:rsid w:val="000431C3"/>
    <w:rsid w:val="00045796"/>
    <w:rsid w:val="00046460"/>
    <w:rsid w:val="00047BEF"/>
    <w:rsid w:val="00047D27"/>
    <w:rsid w:val="000516D9"/>
    <w:rsid w:val="00055614"/>
    <w:rsid w:val="00056654"/>
    <w:rsid w:val="00056D15"/>
    <w:rsid w:val="00060BD8"/>
    <w:rsid w:val="000631B3"/>
    <w:rsid w:val="0006507C"/>
    <w:rsid w:val="0006695B"/>
    <w:rsid w:val="00070454"/>
    <w:rsid w:val="00071C33"/>
    <w:rsid w:val="000725A9"/>
    <w:rsid w:val="000726C9"/>
    <w:rsid w:val="000739BB"/>
    <w:rsid w:val="00073D32"/>
    <w:rsid w:val="00073E94"/>
    <w:rsid w:val="00075C7F"/>
    <w:rsid w:val="00075CB5"/>
    <w:rsid w:val="0007642D"/>
    <w:rsid w:val="000805DC"/>
    <w:rsid w:val="000818FF"/>
    <w:rsid w:val="00083475"/>
    <w:rsid w:val="00083664"/>
    <w:rsid w:val="00083FC5"/>
    <w:rsid w:val="00086894"/>
    <w:rsid w:val="000875FC"/>
    <w:rsid w:val="00090C82"/>
    <w:rsid w:val="000926EC"/>
    <w:rsid w:val="00093D81"/>
    <w:rsid w:val="00094B16"/>
    <w:rsid w:val="0009672C"/>
    <w:rsid w:val="0009700A"/>
    <w:rsid w:val="000973A2"/>
    <w:rsid w:val="000A333E"/>
    <w:rsid w:val="000A34D9"/>
    <w:rsid w:val="000A5ED5"/>
    <w:rsid w:val="000A62D3"/>
    <w:rsid w:val="000A6EC1"/>
    <w:rsid w:val="000A6F76"/>
    <w:rsid w:val="000A7003"/>
    <w:rsid w:val="000A7482"/>
    <w:rsid w:val="000B13B7"/>
    <w:rsid w:val="000B2B33"/>
    <w:rsid w:val="000B4F72"/>
    <w:rsid w:val="000B51D1"/>
    <w:rsid w:val="000B7505"/>
    <w:rsid w:val="000B762E"/>
    <w:rsid w:val="000C09A6"/>
    <w:rsid w:val="000C2578"/>
    <w:rsid w:val="000C2CDC"/>
    <w:rsid w:val="000C3FE9"/>
    <w:rsid w:val="000C4925"/>
    <w:rsid w:val="000C5FB6"/>
    <w:rsid w:val="000C731C"/>
    <w:rsid w:val="000C735A"/>
    <w:rsid w:val="000D0ED5"/>
    <w:rsid w:val="000D17C2"/>
    <w:rsid w:val="000D1936"/>
    <w:rsid w:val="000D2F26"/>
    <w:rsid w:val="000D407B"/>
    <w:rsid w:val="000D4F23"/>
    <w:rsid w:val="000D6DB3"/>
    <w:rsid w:val="000D722D"/>
    <w:rsid w:val="000E2CD7"/>
    <w:rsid w:val="000E3005"/>
    <w:rsid w:val="000E3DEA"/>
    <w:rsid w:val="000E70D9"/>
    <w:rsid w:val="000E767D"/>
    <w:rsid w:val="000F1573"/>
    <w:rsid w:val="000F48FD"/>
    <w:rsid w:val="000F7EF2"/>
    <w:rsid w:val="000F7FEF"/>
    <w:rsid w:val="00101764"/>
    <w:rsid w:val="00102298"/>
    <w:rsid w:val="00102385"/>
    <w:rsid w:val="0010266A"/>
    <w:rsid w:val="00103200"/>
    <w:rsid w:val="001032F6"/>
    <w:rsid w:val="001037D7"/>
    <w:rsid w:val="0010498F"/>
    <w:rsid w:val="00105DF2"/>
    <w:rsid w:val="00107DB7"/>
    <w:rsid w:val="001104AC"/>
    <w:rsid w:val="00110A51"/>
    <w:rsid w:val="00111340"/>
    <w:rsid w:val="00111FEA"/>
    <w:rsid w:val="00112680"/>
    <w:rsid w:val="001141E2"/>
    <w:rsid w:val="001146C5"/>
    <w:rsid w:val="00116760"/>
    <w:rsid w:val="00116D30"/>
    <w:rsid w:val="00117919"/>
    <w:rsid w:val="00122AE1"/>
    <w:rsid w:val="00123B22"/>
    <w:rsid w:val="0012652A"/>
    <w:rsid w:val="00127ED6"/>
    <w:rsid w:val="0013157A"/>
    <w:rsid w:val="00132AD6"/>
    <w:rsid w:val="0013476D"/>
    <w:rsid w:val="00134D03"/>
    <w:rsid w:val="00135FDD"/>
    <w:rsid w:val="00136510"/>
    <w:rsid w:val="0014105E"/>
    <w:rsid w:val="00141170"/>
    <w:rsid w:val="00142905"/>
    <w:rsid w:val="00144DB8"/>
    <w:rsid w:val="0014555D"/>
    <w:rsid w:val="001456A9"/>
    <w:rsid w:val="00145FA8"/>
    <w:rsid w:val="001463F5"/>
    <w:rsid w:val="0014721D"/>
    <w:rsid w:val="0014776A"/>
    <w:rsid w:val="00150077"/>
    <w:rsid w:val="001511F2"/>
    <w:rsid w:val="00152AD1"/>
    <w:rsid w:val="00153ECB"/>
    <w:rsid w:val="001549CD"/>
    <w:rsid w:val="00157C82"/>
    <w:rsid w:val="00160329"/>
    <w:rsid w:val="00161811"/>
    <w:rsid w:val="001628C4"/>
    <w:rsid w:val="001654D7"/>
    <w:rsid w:val="001666A2"/>
    <w:rsid w:val="00170E95"/>
    <w:rsid w:val="0017134B"/>
    <w:rsid w:val="001729C6"/>
    <w:rsid w:val="00176923"/>
    <w:rsid w:val="00176AB5"/>
    <w:rsid w:val="00180509"/>
    <w:rsid w:val="00180537"/>
    <w:rsid w:val="001811B7"/>
    <w:rsid w:val="001811C4"/>
    <w:rsid w:val="00182BC7"/>
    <w:rsid w:val="00183888"/>
    <w:rsid w:val="00183E21"/>
    <w:rsid w:val="0018767C"/>
    <w:rsid w:val="00191705"/>
    <w:rsid w:val="00192F41"/>
    <w:rsid w:val="0019340E"/>
    <w:rsid w:val="00195963"/>
    <w:rsid w:val="001A0D09"/>
    <w:rsid w:val="001A192D"/>
    <w:rsid w:val="001A1F30"/>
    <w:rsid w:val="001A213A"/>
    <w:rsid w:val="001A3588"/>
    <w:rsid w:val="001A3A15"/>
    <w:rsid w:val="001A416F"/>
    <w:rsid w:val="001A46DD"/>
    <w:rsid w:val="001A4ACE"/>
    <w:rsid w:val="001A79F7"/>
    <w:rsid w:val="001A7FFE"/>
    <w:rsid w:val="001B08FF"/>
    <w:rsid w:val="001B5DB8"/>
    <w:rsid w:val="001B635A"/>
    <w:rsid w:val="001B6E89"/>
    <w:rsid w:val="001C180C"/>
    <w:rsid w:val="001C1A1D"/>
    <w:rsid w:val="001C482F"/>
    <w:rsid w:val="001C7D6A"/>
    <w:rsid w:val="001D0BC8"/>
    <w:rsid w:val="001D2461"/>
    <w:rsid w:val="001D6827"/>
    <w:rsid w:val="001D7C6B"/>
    <w:rsid w:val="001E049F"/>
    <w:rsid w:val="001E157B"/>
    <w:rsid w:val="001E32B4"/>
    <w:rsid w:val="001E41BB"/>
    <w:rsid w:val="001F406F"/>
    <w:rsid w:val="001F4DC0"/>
    <w:rsid w:val="00201BD9"/>
    <w:rsid w:val="00202A21"/>
    <w:rsid w:val="002038AE"/>
    <w:rsid w:val="00203A7D"/>
    <w:rsid w:val="00204D80"/>
    <w:rsid w:val="00204DCA"/>
    <w:rsid w:val="00205784"/>
    <w:rsid w:val="00205BD3"/>
    <w:rsid w:val="00205D6A"/>
    <w:rsid w:val="0021124F"/>
    <w:rsid w:val="00211671"/>
    <w:rsid w:val="002126D4"/>
    <w:rsid w:val="0021391C"/>
    <w:rsid w:val="00214AC8"/>
    <w:rsid w:val="00216839"/>
    <w:rsid w:val="0022062D"/>
    <w:rsid w:val="002229C1"/>
    <w:rsid w:val="002236B3"/>
    <w:rsid w:val="00223B57"/>
    <w:rsid w:val="00224948"/>
    <w:rsid w:val="002273F3"/>
    <w:rsid w:val="00227CFD"/>
    <w:rsid w:val="002312B9"/>
    <w:rsid w:val="00232B5E"/>
    <w:rsid w:val="00232C86"/>
    <w:rsid w:val="002336B5"/>
    <w:rsid w:val="0023532D"/>
    <w:rsid w:val="00241D4E"/>
    <w:rsid w:val="00243496"/>
    <w:rsid w:val="00244792"/>
    <w:rsid w:val="00250BC8"/>
    <w:rsid w:val="002521C4"/>
    <w:rsid w:val="0025362B"/>
    <w:rsid w:val="00254812"/>
    <w:rsid w:val="002555B8"/>
    <w:rsid w:val="0026009B"/>
    <w:rsid w:val="00260113"/>
    <w:rsid w:val="002608C3"/>
    <w:rsid w:val="00266C91"/>
    <w:rsid w:val="002676B9"/>
    <w:rsid w:val="0026798D"/>
    <w:rsid w:val="0027073D"/>
    <w:rsid w:val="0027073F"/>
    <w:rsid w:val="00270781"/>
    <w:rsid w:val="0027523A"/>
    <w:rsid w:val="0027556A"/>
    <w:rsid w:val="00275990"/>
    <w:rsid w:val="00283BF0"/>
    <w:rsid w:val="002851FD"/>
    <w:rsid w:val="00290E85"/>
    <w:rsid w:val="002933AC"/>
    <w:rsid w:val="00294F67"/>
    <w:rsid w:val="00294F7E"/>
    <w:rsid w:val="002A07F5"/>
    <w:rsid w:val="002A2F2E"/>
    <w:rsid w:val="002A4563"/>
    <w:rsid w:val="002A6C10"/>
    <w:rsid w:val="002A7369"/>
    <w:rsid w:val="002A79FB"/>
    <w:rsid w:val="002B0318"/>
    <w:rsid w:val="002B0556"/>
    <w:rsid w:val="002B0F04"/>
    <w:rsid w:val="002B1937"/>
    <w:rsid w:val="002B2590"/>
    <w:rsid w:val="002B25D8"/>
    <w:rsid w:val="002B5DD0"/>
    <w:rsid w:val="002B6033"/>
    <w:rsid w:val="002B7899"/>
    <w:rsid w:val="002C161B"/>
    <w:rsid w:val="002C172E"/>
    <w:rsid w:val="002C17A2"/>
    <w:rsid w:val="002C2F77"/>
    <w:rsid w:val="002C3D85"/>
    <w:rsid w:val="002C5EB2"/>
    <w:rsid w:val="002C62E3"/>
    <w:rsid w:val="002D2BBC"/>
    <w:rsid w:val="002D37D6"/>
    <w:rsid w:val="002D6F75"/>
    <w:rsid w:val="002E23D1"/>
    <w:rsid w:val="002E5393"/>
    <w:rsid w:val="002E574B"/>
    <w:rsid w:val="002E5A01"/>
    <w:rsid w:val="002E5AA0"/>
    <w:rsid w:val="002E7C19"/>
    <w:rsid w:val="002F03BC"/>
    <w:rsid w:val="002F150F"/>
    <w:rsid w:val="002F2A1B"/>
    <w:rsid w:val="002F67F2"/>
    <w:rsid w:val="002F6AEA"/>
    <w:rsid w:val="00300223"/>
    <w:rsid w:val="0030437C"/>
    <w:rsid w:val="003043C2"/>
    <w:rsid w:val="00305265"/>
    <w:rsid w:val="003068F1"/>
    <w:rsid w:val="00307637"/>
    <w:rsid w:val="00310477"/>
    <w:rsid w:val="003113F0"/>
    <w:rsid w:val="003113F4"/>
    <w:rsid w:val="0031217B"/>
    <w:rsid w:val="003121F7"/>
    <w:rsid w:val="003123FB"/>
    <w:rsid w:val="00312B73"/>
    <w:rsid w:val="003138BE"/>
    <w:rsid w:val="00314D29"/>
    <w:rsid w:val="00317C52"/>
    <w:rsid w:val="0032366D"/>
    <w:rsid w:val="003243CF"/>
    <w:rsid w:val="00324CAB"/>
    <w:rsid w:val="00325258"/>
    <w:rsid w:val="003258CF"/>
    <w:rsid w:val="00326E0C"/>
    <w:rsid w:val="00327F14"/>
    <w:rsid w:val="00330BA7"/>
    <w:rsid w:val="00330C8C"/>
    <w:rsid w:val="0033176E"/>
    <w:rsid w:val="00331952"/>
    <w:rsid w:val="00332086"/>
    <w:rsid w:val="0033683A"/>
    <w:rsid w:val="003403F9"/>
    <w:rsid w:val="00340EEC"/>
    <w:rsid w:val="00341364"/>
    <w:rsid w:val="0034266A"/>
    <w:rsid w:val="00344280"/>
    <w:rsid w:val="00350752"/>
    <w:rsid w:val="00350E05"/>
    <w:rsid w:val="003537C0"/>
    <w:rsid w:val="0035421F"/>
    <w:rsid w:val="00355840"/>
    <w:rsid w:val="00356224"/>
    <w:rsid w:val="00356526"/>
    <w:rsid w:val="003569A9"/>
    <w:rsid w:val="0036330B"/>
    <w:rsid w:val="003642AC"/>
    <w:rsid w:val="00370E69"/>
    <w:rsid w:val="00370EA4"/>
    <w:rsid w:val="003721E2"/>
    <w:rsid w:val="0037233F"/>
    <w:rsid w:val="003734AA"/>
    <w:rsid w:val="00373D74"/>
    <w:rsid w:val="00374DBB"/>
    <w:rsid w:val="00380AAF"/>
    <w:rsid w:val="00383CC7"/>
    <w:rsid w:val="00390296"/>
    <w:rsid w:val="00391613"/>
    <w:rsid w:val="00393106"/>
    <w:rsid w:val="0039319C"/>
    <w:rsid w:val="00395C53"/>
    <w:rsid w:val="003964EA"/>
    <w:rsid w:val="003979FD"/>
    <w:rsid w:val="003A1077"/>
    <w:rsid w:val="003A1AE0"/>
    <w:rsid w:val="003A2657"/>
    <w:rsid w:val="003A2B52"/>
    <w:rsid w:val="003A2CE1"/>
    <w:rsid w:val="003A3E76"/>
    <w:rsid w:val="003A42A2"/>
    <w:rsid w:val="003A5353"/>
    <w:rsid w:val="003B1212"/>
    <w:rsid w:val="003B1331"/>
    <w:rsid w:val="003B6A7E"/>
    <w:rsid w:val="003C056D"/>
    <w:rsid w:val="003C28C1"/>
    <w:rsid w:val="003C4EA8"/>
    <w:rsid w:val="003C5FD5"/>
    <w:rsid w:val="003C61FC"/>
    <w:rsid w:val="003C6844"/>
    <w:rsid w:val="003D0076"/>
    <w:rsid w:val="003D09A8"/>
    <w:rsid w:val="003D10FB"/>
    <w:rsid w:val="003D11B4"/>
    <w:rsid w:val="003D1FC7"/>
    <w:rsid w:val="003D29D9"/>
    <w:rsid w:val="003D2AA8"/>
    <w:rsid w:val="003D4CD3"/>
    <w:rsid w:val="003D5C64"/>
    <w:rsid w:val="003D625C"/>
    <w:rsid w:val="003D64BE"/>
    <w:rsid w:val="003D6EF0"/>
    <w:rsid w:val="003E1B5F"/>
    <w:rsid w:val="003E2289"/>
    <w:rsid w:val="003E2914"/>
    <w:rsid w:val="003E2CED"/>
    <w:rsid w:val="003E2F12"/>
    <w:rsid w:val="003E5087"/>
    <w:rsid w:val="003E56A7"/>
    <w:rsid w:val="003F27D2"/>
    <w:rsid w:val="003F3250"/>
    <w:rsid w:val="003F35FA"/>
    <w:rsid w:val="003F60B9"/>
    <w:rsid w:val="003F6172"/>
    <w:rsid w:val="003F66A9"/>
    <w:rsid w:val="00400053"/>
    <w:rsid w:val="004024C8"/>
    <w:rsid w:val="004026C2"/>
    <w:rsid w:val="00403270"/>
    <w:rsid w:val="00405930"/>
    <w:rsid w:val="0040698B"/>
    <w:rsid w:val="00406B01"/>
    <w:rsid w:val="00407017"/>
    <w:rsid w:val="0041055A"/>
    <w:rsid w:val="00411FC6"/>
    <w:rsid w:val="00413082"/>
    <w:rsid w:val="004131D7"/>
    <w:rsid w:val="004140D8"/>
    <w:rsid w:val="00417669"/>
    <w:rsid w:val="00417B5B"/>
    <w:rsid w:val="00417F29"/>
    <w:rsid w:val="00420279"/>
    <w:rsid w:val="00420487"/>
    <w:rsid w:val="00420DBF"/>
    <w:rsid w:val="004217EB"/>
    <w:rsid w:val="00422D7D"/>
    <w:rsid w:val="00423FC4"/>
    <w:rsid w:val="00425CBF"/>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6FC"/>
    <w:rsid w:val="00454BDB"/>
    <w:rsid w:val="00455D17"/>
    <w:rsid w:val="0045704C"/>
    <w:rsid w:val="00457183"/>
    <w:rsid w:val="00457597"/>
    <w:rsid w:val="00460141"/>
    <w:rsid w:val="00464F82"/>
    <w:rsid w:val="0046741E"/>
    <w:rsid w:val="004732C6"/>
    <w:rsid w:val="00473BB3"/>
    <w:rsid w:val="00473C5D"/>
    <w:rsid w:val="0047512A"/>
    <w:rsid w:val="0047610C"/>
    <w:rsid w:val="004824DF"/>
    <w:rsid w:val="004839C8"/>
    <w:rsid w:val="00486B69"/>
    <w:rsid w:val="00486F6E"/>
    <w:rsid w:val="004A008B"/>
    <w:rsid w:val="004A010C"/>
    <w:rsid w:val="004A39D3"/>
    <w:rsid w:val="004A5301"/>
    <w:rsid w:val="004A6CFC"/>
    <w:rsid w:val="004B1EA2"/>
    <w:rsid w:val="004B2397"/>
    <w:rsid w:val="004B32AF"/>
    <w:rsid w:val="004B680D"/>
    <w:rsid w:val="004C0E3B"/>
    <w:rsid w:val="004C6512"/>
    <w:rsid w:val="004D230F"/>
    <w:rsid w:val="004D239D"/>
    <w:rsid w:val="004D2694"/>
    <w:rsid w:val="004D2B48"/>
    <w:rsid w:val="004D449D"/>
    <w:rsid w:val="004D4831"/>
    <w:rsid w:val="004D7655"/>
    <w:rsid w:val="004D7CE0"/>
    <w:rsid w:val="004E1FAD"/>
    <w:rsid w:val="004E271C"/>
    <w:rsid w:val="004E298A"/>
    <w:rsid w:val="004E47A6"/>
    <w:rsid w:val="004E5DEA"/>
    <w:rsid w:val="004E6D05"/>
    <w:rsid w:val="004F0B9C"/>
    <w:rsid w:val="004F181A"/>
    <w:rsid w:val="004F2B43"/>
    <w:rsid w:val="004F392E"/>
    <w:rsid w:val="004F7184"/>
    <w:rsid w:val="004F75C9"/>
    <w:rsid w:val="00500313"/>
    <w:rsid w:val="00502AB7"/>
    <w:rsid w:val="005046EE"/>
    <w:rsid w:val="00504F54"/>
    <w:rsid w:val="005051EB"/>
    <w:rsid w:val="0050676C"/>
    <w:rsid w:val="00506FA3"/>
    <w:rsid w:val="00507065"/>
    <w:rsid w:val="00513FF9"/>
    <w:rsid w:val="0051509A"/>
    <w:rsid w:val="0051542F"/>
    <w:rsid w:val="0051646C"/>
    <w:rsid w:val="00517E75"/>
    <w:rsid w:val="005215FB"/>
    <w:rsid w:val="00521623"/>
    <w:rsid w:val="005220CD"/>
    <w:rsid w:val="00522223"/>
    <w:rsid w:val="005270B5"/>
    <w:rsid w:val="0052784E"/>
    <w:rsid w:val="00527C92"/>
    <w:rsid w:val="00531BC0"/>
    <w:rsid w:val="0053582C"/>
    <w:rsid w:val="00536A06"/>
    <w:rsid w:val="00540B17"/>
    <w:rsid w:val="00542506"/>
    <w:rsid w:val="0054304B"/>
    <w:rsid w:val="005430C1"/>
    <w:rsid w:val="0054345B"/>
    <w:rsid w:val="00543726"/>
    <w:rsid w:val="005449BD"/>
    <w:rsid w:val="0054607E"/>
    <w:rsid w:val="00547052"/>
    <w:rsid w:val="005502BA"/>
    <w:rsid w:val="005504B7"/>
    <w:rsid w:val="005530CE"/>
    <w:rsid w:val="0055379C"/>
    <w:rsid w:val="0055385A"/>
    <w:rsid w:val="00553946"/>
    <w:rsid w:val="00555138"/>
    <w:rsid w:val="00555634"/>
    <w:rsid w:val="00555EF2"/>
    <w:rsid w:val="00556D80"/>
    <w:rsid w:val="0055781E"/>
    <w:rsid w:val="00560CD5"/>
    <w:rsid w:val="00562B4A"/>
    <w:rsid w:val="0056509F"/>
    <w:rsid w:val="00567780"/>
    <w:rsid w:val="00567DFC"/>
    <w:rsid w:val="00570A92"/>
    <w:rsid w:val="0057139B"/>
    <w:rsid w:val="0057293E"/>
    <w:rsid w:val="0057371E"/>
    <w:rsid w:val="005755BA"/>
    <w:rsid w:val="00575D1E"/>
    <w:rsid w:val="00580675"/>
    <w:rsid w:val="00580CDE"/>
    <w:rsid w:val="005844A2"/>
    <w:rsid w:val="005849E9"/>
    <w:rsid w:val="005900E2"/>
    <w:rsid w:val="00591D7B"/>
    <w:rsid w:val="005922E0"/>
    <w:rsid w:val="005927FC"/>
    <w:rsid w:val="00594914"/>
    <w:rsid w:val="00595E32"/>
    <w:rsid w:val="005961EC"/>
    <w:rsid w:val="00596B0D"/>
    <w:rsid w:val="005A0064"/>
    <w:rsid w:val="005A606A"/>
    <w:rsid w:val="005A6B7D"/>
    <w:rsid w:val="005A7486"/>
    <w:rsid w:val="005B0295"/>
    <w:rsid w:val="005B2863"/>
    <w:rsid w:val="005B290E"/>
    <w:rsid w:val="005B29C6"/>
    <w:rsid w:val="005B370C"/>
    <w:rsid w:val="005B3EFC"/>
    <w:rsid w:val="005C1293"/>
    <w:rsid w:val="005C1301"/>
    <w:rsid w:val="005C5E53"/>
    <w:rsid w:val="005C618D"/>
    <w:rsid w:val="005C7D61"/>
    <w:rsid w:val="005D14F5"/>
    <w:rsid w:val="005D6617"/>
    <w:rsid w:val="005E2C44"/>
    <w:rsid w:val="005E2CD2"/>
    <w:rsid w:val="005E3966"/>
    <w:rsid w:val="005E4A1B"/>
    <w:rsid w:val="005E5442"/>
    <w:rsid w:val="005E5D67"/>
    <w:rsid w:val="005E5DA4"/>
    <w:rsid w:val="005E6722"/>
    <w:rsid w:val="005E6DB2"/>
    <w:rsid w:val="005E70CA"/>
    <w:rsid w:val="005E76D6"/>
    <w:rsid w:val="005F340F"/>
    <w:rsid w:val="005F42C7"/>
    <w:rsid w:val="005F5BA5"/>
    <w:rsid w:val="005F76EF"/>
    <w:rsid w:val="00603BD9"/>
    <w:rsid w:val="00604DDF"/>
    <w:rsid w:val="006052D3"/>
    <w:rsid w:val="006100AB"/>
    <w:rsid w:val="0061137B"/>
    <w:rsid w:val="00611A83"/>
    <w:rsid w:val="00612A64"/>
    <w:rsid w:val="006140AE"/>
    <w:rsid w:val="006142C8"/>
    <w:rsid w:val="00614BB2"/>
    <w:rsid w:val="0061684A"/>
    <w:rsid w:val="00616D08"/>
    <w:rsid w:val="00617087"/>
    <w:rsid w:val="006170E1"/>
    <w:rsid w:val="0062034E"/>
    <w:rsid w:val="0062232E"/>
    <w:rsid w:val="006226A8"/>
    <w:rsid w:val="006240DC"/>
    <w:rsid w:val="00624BCF"/>
    <w:rsid w:val="00625468"/>
    <w:rsid w:val="00625C67"/>
    <w:rsid w:val="006351C7"/>
    <w:rsid w:val="00642BC8"/>
    <w:rsid w:val="00642D89"/>
    <w:rsid w:val="00643E2E"/>
    <w:rsid w:val="00644B99"/>
    <w:rsid w:val="00645D03"/>
    <w:rsid w:val="006509EB"/>
    <w:rsid w:val="00650F1D"/>
    <w:rsid w:val="006522E4"/>
    <w:rsid w:val="00652934"/>
    <w:rsid w:val="00653017"/>
    <w:rsid w:val="006544F4"/>
    <w:rsid w:val="00662020"/>
    <w:rsid w:val="00662B5E"/>
    <w:rsid w:val="00663F51"/>
    <w:rsid w:val="00665E03"/>
    <w:rsid w:val="00667383"/>
    <w:rsid w:val="006677F4"/>
    <w:rsid w:val="00670B60"/>
    <w:rsid w:val="00671FB4"/>
    <w:rsid w:val="00675E85"/>
    <w:rsid w:val="00676BC4"/>
    <w:rsid w:val="006807A4"/>
    <w:rsid w:val="00681C5E"/>
    <w:rsid w:val="0068497A"/>
    <w:rsid w:val="00684DA4"/>
    <w:rsid w:val="0068529A"/>
    <w:rsid w:val="00690B73"/>
    <w:rsid w:val="00691729"/>
    <w:rsid w:val="0069401D"/>
    <w:rsid w:val="00694195"/>
    <w:rsid w:val="00694402"/>
    <w:rsid w:val="00694FCA"/>
    <w:rsid w:val="00695D8A"/>
    <w:rsid w:val="0069600F"/>
    <w:rsid w:val="00696156"/>
    <w:rsid w:val="00696694"/>
    <w:rsid w:val="00696D2B"/>
    <w:rsid w:val="00697883"/>
    <w:rsid w:val="00697A82"/>
    <w:rsid w:val="006A0DA2"/>
    <w:rsid w:val="006A2656"/>
    <w:rsid w:val="006A2915"/>
    <w:rsid w:val="006A2C78"/>
    <w:rsid w:val="006A2EE8"/>
    <w:rsid w:val="006A71EA"/>
    <w:rsid w:val="006A7EED"/>
    <w:rsid w:val="006B275A"/>
    <w:rsid w:val="006B5E95"/>
    <w:rsid w:val="006B628D"/>
    <w:rsid w:val="006B7A9F"/>
    <w:rsid w:val="006C0C7A"/>
    <w:rsid w:val="006C2054"/>
    <w:rsid w:val="006C220D"/>
    <w:rsid w:val="006C31C0"/>
    <w:rsid w:val="006C39CE"/>
    <w:rsid w:val="006C4730"/>
    <w:rsid w:val="006C4E45"/>
    <w:rsid w:val="006C5DA2"/>
    <w:rsid w:val="006C6615"/>
    <w:rsid w:val="006C6D88"/>
    <w:rsid w:val="006C7198"/>
    <w:rsid w:val="006D01A7"/>
    <w:rsid w:val="006D0532"/>
    <w:rsid w:val="006D29BE"/>
    <w:rsid w:val="006D7837"/>
    <w:rsid w:val="006D7947"/>
    <w:rsid w:val="006D7C59"/>
    <w:rsid w:val="006E2DB9"/>
    <w:rsid w:val="006E380C"/>
    <w:rsid w:val="006E4654"/>
    <w:rsid w:val="006E5937"/>
    <w:rsid w:val="006F0DC3"/>
    <w:rsid w:val="006F1E82"/>
    <w:rsid w:val="006F2B90"/>
    <w:rsid w:val="006F3641"/>
    <w:rsid w:val="006F480A"/>
    <w:rsid w:val="006F68DA"/>
    <w:rsid w:val="006F6958"/>
    <w:rsid w:val="006F776B"/>
    <w:rsid w:val="006F7825"/>
    <w:rsid w:val="0070016E"/>
    <w:rsid w:val="00700961"/>
    <w:rsid w:val="00701CC3"/>
    <w:rsid w:val="0070223F"/>
    <w:rsid w:val="007023DA"/>
    <w:rsid w:val="007031B3"/>
    <w:rsid w:val="0070350E"/>
    <w:rsid w:val="00703F42"/>
    <w:rsid w:val="00704059"/>
    <w:rsid w:val="007136DA"/>
    <w:rsid w:val="00715C79"/>
    <w:rsid w:val="00716362"/>
    <w:rsid w:val="00717B88"/>
    <w:rsid w:val="00720044"/>
    <w:rsid w:val="00720CD9"/>
    <w:rsid w:val="00721F69"/>
    <w:rsid w:val="00722CF6"/>
    <w:rsid w:val="00723F60"/>
    <w:rsid w:val="007250A6"/>
    <w:rsid w:val="00731CB0"/>
    <w:rsid w:val="0073441C"/>
    <w:rsid w:val="0074146D"/>
    <w:rsid w:val="0074389B"/>
    <w:rsid w:val="00745C3B"/>
    <w:rsid w:val="00746DE5"/>
    <w:rsid w:val="00747135"/>
    <w:rsid w:val="007522AD"/>
    <w:rsid w:val="00754349"/>
    <w:rsid w:val="0075470D"/>
    <w:rsid w:val="00756414"/>
    <w:rsid w:val="00760461"/>
    <w:rsid w:val="0076205C"/>
    <w:rsid w:val="00764FD5"/>
    <w:rsid w:val="0077580B"/>
    <w:rsid w:val="00775863"/>
    <w:rsid w:val="00782BD8"/>
    <w:rsid w:val="00782DD8"/>
    <w:rsid w:val="0078389D"/>
    <w:rsid w:val="00784B44"/>
    <w:rsid w:val="007859D0"/>
    <w:rsid w:val="00787947"/>
    <w:rsid w:val="0079652C"/>
    <w:rsid w:val="0079682C"/>
    <w:rsid w:val="00796DDA"/>
    <w:rsid w:val="007A2481"/>
    <w:rsid w:val="007A2817"/>
    <w:rsid w:val="007A5A91"/>
    <w:rsid w:val="007A6363"/>
    <w:rsid w:val="007A7DF0"/>
    <w:rsid w:val="007B1EEC"/>
    <w:rsid w:val="007B6E17"/>
    <w:rsid w:val="007B7859"/>
    <w:rsid w:val="007B7C8A"/>
    <w:rsid w:val="007C030C"/>
    <w:rsid w:val="007C0575"/>
    <w:rsid w:val="007C0BF8"/>
    <w:rsid w:val="007C0D61"/>
    <w:rsid w:val="007C15A2"/>
    <w:rsid w:val="007C324F"/>
    <w:rsid w:val="007C3967"/>
    <w:rsid w:val="007C6A30"/>
    <w:rsid w:val="007D0719"/>
    <w:rsid w:val="007D0E14"/>
    <w:rsid w:val="007D158D"/>
    <w:rsid w:val="007D2688"/>
    <w:rsid w:val="007D56DE"/>
    <w:rsid w:val="007D60CC"/>
    <w:rsid w:val="007E0DA0"/>
    <w:rsid w:val="007E39A8"/>
    <w:rsid w:val="007E3D1F"/>
    <w:rsid w:val="007E55AC"/>
    <w:rsid w:val="007F09EA"/>
    <w:rsid w:val="007F4523"/>
    <w:rsid w:val="00800F96"/>
    <w:rsid w:val="00801234"/>
    <w:rsid w:val="00801632"/>
    <w:rsid w:val="008016A1"/>
    <w:rsid w:val="00801EEF"/>
    <w:rsid w:val="008031D2"/>
    <w:rsid w:val="008052DD"/>
    <w:rsid w:val="00805331"/>
    <w:rsid w:val="008054F7"/>
    <w:rsid w:val="008060C3"/>
    <w:rsid w:val="0080625B"/>
    <w:rsid w:val="00806523"/>
    <w:rsid w:val="00810B33"/>
    <w:rsid w:val="00810D3F"/>
    <w:rsid w:val="0081299B"/>
    <w:rsid w:val="008135FB"/>
    <w:rsid w:val="00815480"/>
    <w:rsid w:val="00816221"/>
    <w:rsid w:val="008204CC"/>
    <w:rsid w:val="00834EF6"/>
    <w:rsid w:val="0083639A"/>
    <w:rsid w:val="0083697E"/>
    <w:rsid w:val="00837670"/>
    <w:rsid w:val="00840D90"/>
    <w:rsid w:val="008439F8"/>
    <w:rsid w:val="00844B47"/>
    <w:rsid w:val="00846699"/>
    <w:rsid w:val="00846B44"/>
    <w:rsid w:val="00850136"/>
    <w:rsid w:val="008507DF"/>
    <w:rsid w:val="00852076"/>
    <w:rsid w:val="00852C7D"/>
    <w:rsid w:val="00855DE3"/>
    <w:rsid w:val="00856B10"/>
    <w:rsid w:val="008604E2"/>
    <w:rsid w:val="008607AC"/>
    <w:rsid w:val="00860C70"/>
    <w:rsid w:val="008637B9"/>
    <w:rsid w:val="008704AB"/>
    <w:rsid w:val="00871BDC"/>
    <w:rsid w:val="00871FC0"/>
    <w:rsid w:val="0087441B"/>
    <w:rsid w:val="008745C1"/>
    <w:rsid w:val="00874A7B"/>
    <w:rsid w:val="00882BF6"/>
    <w:rsid w:val="00883D6C"/>
    <w:rsid w:val="00884478"/>
    <w:rsid w:val="00886324"/>
    <w:rsid w:val="008870E7"/>
    <w:rsid w:val="00892594"/>
    <w:rsid w:val="00896207"/>
    <w:rsid w:val="008A1241"/>
    <w:rsid w:val="008A1C17"/>
    <w:rsid w:val="008A50CB"/>
    <w:rsid w:val="008A54A0"/>
    <w:rsid w:val="008A6504"/>
    <w:rsid w:val="008B0CA0"/>
    <w:rsid w:val="008B15FA"/>
    <w:rsid w:val="008B5516"/>
    <w:rsid w:val="008B7ADB"/>
    <w:rsid w:val="008C03A9"/>
    <w:rsid w:val="008C084F"/>
    <w:rsid w:val="008C1297"/>
    <w:rsid w:val="008C1F72"/>
    <w:rsid w:val="008C66D5"/>
    <w:rsid w:val="008D31F9"/>
    <w:rsid w:val="008D35DA"/>
    <w:rsid w:val="008D4BEC"/>
    <w:rsid w:val="008D66A0"/>
    <w:rsid w:val="008D7168"/>
    <w:rsid w:val="008E0400"/>
    <w:rsid w:val="008E2AB2"/>
    <w:rsid w:val="008E4431"/>
    <w:rsid w:val="008E5E3F"/>
    <w:rsid w:val="008F0010"/>
    <w:rsid w:val="008F138B"/>
    <w:rsid w:val="008F1AA8"/>
    <w:rsid w:val="008F5A50"/>
    <w:rsid w:val="008F5BF5"/>
    <w:rsid w:val="008F7C2B"/>
    <w:rsid w:val="008F7F14"/>
    <w:rsid w:val="009013C9"/>
    <w:rsid w:val="00901C88"/>
    <w:rsid w:val="00902217"/>
    <w:rsid w:val="009027CD"/>
    <w:rsid w:val="0090340B"/>
    <w:rsid w:val="009039C4"/>
    <w:rsid w:val="0090454F"/>
    <w:rsid w:val="00905F94"/>
    <w:rsid w:val="00911177"/>
    <w:rsid w:val="0091535B"/>
    <w:rsid w:val="009168C0"/>
    <w:rsid w:val="00916F84"/>
    <w:rsid w:val="009239C5"/>
    <w:rsid w:val="00925FCF"/>
    <w:rsid w:val="00927668"/>
    <w:rsid w:val="009306FD"/>
    <w:rsid w:val="0093245E"/>
    <w:rsid w:val="009363FF"/>
    <w:rsid w:val="00940D9E"/>
    <w:rsid w:val="00943041"/>
    <w:rsid w:val="00943074"/>
    <w:rsid w:val="00945313"/>
    <w:rsid w:val="0095123C"/>
    <w:rsid w:val="009526E3"/>
    <w:rsid w:val="00952779"/>
    <w:rsid w:val="0095325A"/>
    <w:rsid w:val="0095484B"/>
    <w:rsid w:val="00954C89"/>
    <w:rsid w:val="0095637F"/>
    <w:rsid w:val="0096074B"/>
    <w:rsid w:val="00962134"/>
    <w:rsid w:val="00962F80"/>
    <w:rsid w:val="00965546"/>
    <w:rsid w:val="00965A34"/>
    <w:rsid w:val="00966657"/>
    <w:rsid w:val="00971A23"/>
    <w:rsid w:val="00973452"/>
    <w:rsid w:val="00975F79"/>
    <w:rsid w:val="00976BF2"/>
    <w:rsid w:val="0098285F"/>
    <w:rsid w:val="0098418E"/>
    <w:rsid w:val="0098555A"/>
    <w:rsid w:val="00985F81"/>
    <w:rsid w:val="00986DDC"/>
    <w:rsid w:val="00987DF0"/>
    <w:rsid w:val="00990F63"/>
    <w:rsid w:val="00991801"/>
    <w:rsid w:val="00993CF2"/>
    <w:rsid w:val="00994326"/>
    <w:rsid w:val="009A15B5"/>
    <w:rsid w:val="009A6B0F"/>
    <w:rsid w:val="009A7BD5"/>
    <w:rsid w:val="009A7D8A"/>
    <w:rsid w:val="009B0122"/>
    <w:rsid w:val="009B0C40"/>
    <w:rsid w:val="009C0828"/>
    <w:rsid w:val="009C3331"/>
    <w:rsid w:val="009C36BC"/>
    <w:rsid w:val="009C48AC"/>
    <w:rsid w:val="009C4AE6"/>
    <w:rsid w:val="009D4733"/>
    <w:rsid w:val="009D4C2D"/>
    <w:rsid w:val="009D4E68"/>
    <w:rsid w:val="009D542A"/>
    <w:rsid w:val="009D5AAC"/>
    <w:rsid w:val="009E2D1D"/>
    <w:rsid w:val="009E596B"/>
    <w:rsid w:val="009E6B81"/>
    <w:rsid w:val="009E7A56"/>
    <w:rsid w:val="009F046B"/>
    <w:rsid w:val="009F1865"/>
    <w:rsid w:val="009F475E"/>
    <w:rsid w:val="009F5016"/>
    <w:rsid w:val="009F5A35"/>
    <w:rsid w:val="009F5A95"/>
    <w:rsid w:val="009F67E7"/>
    <w:rsid w:val="009F7C95"/>
    <w:rsid w:val="00A009D5"/>
    <w:rsid w:val="00A0329D"/>
    <w:rsid w:val="00A0525F"/>
    <w:rsid w:val="00A0654A"/>
    <w:rsid w:val="00A12783"/>
    <w:rsid w:val="00A14BAF"/>
    <w:rsid w:val="00A1634E"/>
    <w:rsid w:val="00A16385"/>
    <w:rsid w:val="00A177A6"/>
    <w:rsid w:val="00A23609"/>
    <w:rsid w:val="00A25CDF"/>
    <w:rsid w:val="00A25E43"/>
    <w:rsid w:val="00A3139E"/>
    <w:rsid w:val="00A3147A"/>
    <w:rsid w:val="00A3179F"/>
    <w:rsid w:val="00A32590"/>
    <w:rsid w:val="00A341D2"/>
    <w:rsid w:val="00A355BD"/>
    <w:rsid w:val="00A357F7"/>
    <w:rsid w:val="00A36D5E"/>
    <w:rsid w:val="00A41FA7"/>
    <w:rsid w:val="00A439EB"/>
    <w:rsid w:val="00A47443"/>
    <w:rsid w:val="00A47585"/>
    <w:rsid w:val="00A47695"/>
    <w:rsid w:val="00A50EA8"/>
    <w:rsid w:val="00A53F4B"/>
    <w:rsid w:val="00A549F4"/>
    <w:rsid w:val="00A57E38"/>
    <w:rsid w:val="00A60B63"/>
    <w:rsid w:val="00A62B2C"/>
    <w:rsid w:val="00A632B0"/>
    <w:rsid w:val="00A64CDD"/>
    <w:rsid w:val="00A65AD0"/>
    <w:rsid w:val="00A662B2"/>
    <w:rsid w:val="00A73DF3"/>
    <w:rsid w:val="00A77384"/>
    <w:rsid w:val="00A77AF6"/>
    <w:rsid w:val="00A807BF"/>
    <w:rsid w:val="00A81844"/>
    <w:rsid w:val="00A829A4"/>
    <w:rsid w:val="00A86476"/>
    <w:rsid w:val="00A8716F"/>
    <w:rsid w:val="00A90BB1"/>
    <w:rsid w:val="00A920E8"/>
    <w:rsid w:val="00A92636"/>
    <w:rsid w:val="00A941D3"/>
    <w:rsid w:val="00A95464"/>
    <w:rsid w:val="00A95E06"/>
    <w:rsid w:val="00A96B7A"/>
    <w:rsid w:val="00A972F1"/>
    <w:rsid w:val="00AA1B8A"/>
    <w:rsid w:val="00AA2741"/>
    <w:rsid w:val="00AA34A2"/>
    <w:rsid w:val="00AA47FE"/>
    <w:rsid w:val="00AA4916"/>
    <w:rsid w:val="00AA63C3"/>
    <w:rsid w:val="00AA7D07"/>
    <w:rsid w:val="00AB1894"/>
    <w:rsid w:val="00AB1AE2"/>
    <w:rsid w:val="00AB38A0"/>
    <w:rsid w:val="00AB3CBA"/>
    <w:rsid w:val="00AB4DA1"/>
    <w:rsid w:val="00AB5182"/>
    <w:rsid w:val="00AB5572"/>
    <w:rsid w:val="00AC5B0E"/>
    <w:rsid w:val="00AD0888"/>
    <w:rsid w:val="00AD210B"/>
    <w:rsid w:val="00AD2252"/>
    <w:rsid w:val="00AD3489"/>
    <w:rsid w:val="00AE148B"/>
    <w:rsid w:val="00AE1AB7"/>
    <w:rsid w:val="00AE206F"/>
    <w:rsid w:val="00AE687A"/>
    <w:rsid w:val="00AE6AF2"/>
    <w:rsid w:val="00AF050E"/>
    <w:rsid w:val="00AF0542"/>
    <w:rsid w:val="00AF06AD"/>
    <w:rsid w:val="00AF4525"/>
    <w:rsid w:val="00AF48DE"/>
    <w:rsid w:val="00B00FFB"/>
    <w:rsid w:val="00B102DE"/>
    <w:rsid w:val="00B11FD8"/>
    <w:rsid w:val="00B14470"/>
    <w:rsid w:val="00B14F99"/>
    <w:rsid w:val="00B1773D"/>
    <w:rsid w:val="00B22BF1"/>
    <w:rsid w:val="00B24200"/>
    <w:rsid w:val="00B25890"/>
    <w:rsid w:val="00B2739D"/>
    <w:rsid w:val="00B3131F"/>
    <w:rsid w:val="00B35416"/>
    <w:rsid w:val="00B35F87"/>
    <w:rsid w:val="00B364B6"/>
    <w:rsid w:val="00B378CC"/>
    <w:rsid w:val="00B37C42"/>
    <w:rsid w:val="00B408DA"/>
    <w:rsid w:val="00B41640"/>
    <w:rsid w:val="00B42CBA"/>
    <w:rsid w:val="00B45057"/>
    <w:rsid w:val="00B53585"/>
    <w:rsid w:val="00B55B22"/>
    <w:rsid w:val="00B56590"/>
    <w:rsid w:val="00B57E2E"/>
    <w:rsid w:val="00B60841"/>
    <w:rsid w:val="00B61490"/>
    <w:rsid w:val="00B615EB"/>
    <w:rsid w:val="00B623AD"/>
    <w:rsid w:val="00B62EF2"/>
    <w:rsid w:val="00B63492"/>
    <w:rsid w:val="00B63D29"/>
    <w:rsid w:val="00B65385"/>
    <w:rsid w:val="00B70998"/>
    <w:rsid w:val="00B774E4"/>
    <w:rsid w:val="00B777C9"/>
    <w:rsid w:val="00B77890"/>
    <w:rsid w:val="00B82186"/>
    <w:rsid w:val="00B841DF"/>
    <w:rsid w:val="00B86B1C"/>
    <w:rsid w:val="00B9303C"/>
    <w:rsid w:val="00B950DF"/>
    <w:rsid w:val="00B9657F"/>
    <w:rsid w:val="00BA3782"/>
    <w:rsid w:val="00BA4C10"/>
    <w:rsid w:val="00BA5C9C"/>
    <w:rsid w:val="00BB3754"/>
    <w:rsid w:val="00BB3B23"/>
    <w:rsid w:val="00BB4577"/>
    <w:rsid w:val="00BB45B1"/>
    <w:rsid w:val="00BB64F7"/>
    <w:rsid w:val="00BC02AA"/>
    <w:rsid w:val="00BC27C9"/>
    <w:rsid w:val="00BD3763"/>
    <w:rsid w:val="00BD41E9"/>
    <w:rsid w:val="00BD4583"/>
    <w:rsid w:val="00BD47A9"/>
    <w:rsid w:val="00BD7DD2"/>
    <w:rsid w:val="00BE0440"/>
    <w:rsid w:val="00BE097E"/>
    <w:rsid w:val="00BE118E"/>
    <w:rsid w:val="00BE1787"/>
    <w:rsid w:val="00BE18AD"/>
    <w:rsid w:val="00BE20EB"/>
    <w:rsid w:val="00BE4583"/>
    <w:rsid w:val="00BE48A0"/>
    <w:rsid w:val="00BE4A7A"/>
    <w:rsid w:val="00BF0173"/>
    <w:rsid w:val="00BF060E"/>
    <w:rsid w:val="00BF20C9"/>
    <w:rsid w:val="00BF5975"/>
    <w:rsid w:val="00BF6529"/>
    <w:rsid w:val="00C00B16"/>
    <w:rsid w:val="00C00C73"/>
    <w:rsid w:val="00C02ABE"/>
    <w:rsid w:val="00C03014"/>
    <w:rsid w:val="00C072DC"/>
    <w:rsid w:val="00C11C3C"/>
    <w:rsid w:val="00C127CA"/>
    <w:rsid w:val="00C12F41"/>
    <w:rsid w:val="00C14039"/>
    <w:rsid w:val="00C15244"/>
    <w:rsid w:val="00C2059B"/>
    <w:rsid w:val="00C20691"/>
    <w:rsid w:val="00C21F29"/>
    <w:rsid w:val="00C224F7"/>
    <w:rsid w:val="00C2503C"/>
    <w:rsid w:val="00C2545E"/>
    <w:rsid w:val="00C257AB"/>
    <w:rsid w:val="00C3168B"/>
    <w:rsid w:val="00C31D17"/>
    <w:rsid w:val="00C33D67"/>
    <w:rsid w:val="00C3614F"/>
    <w:rsid w:val="00C36C35"/>
    <w:rsid w:val="00C3766E"/>
    <w:rsid w:val="00C37AEE"/>
    <w:rsid w:val="00C37F41"/>
    <w:rsid w:val="00C412BA"/>
    <w:rsid w:val="00C44808"/>
    <w:rsid w:val="00C45C1D"/>
    <w:rsid w:val="00C47D45"/>
    <w:rsid w:val="00C50357"/>
    <w:rsid w:val="00C50A87"/>
    <w:rsid w:val="00C52CCB"/>
    <w:rsid w:val="00C56EF0"/>
    <w:rsid w:val="00C57160"/>
    <w:rsid w:val="00C57733"/>
    <w:rsid w:val="00C57B2A"/>
    <w:rsid w:val="00C60B76"/>
    <w:rsid w:val="00C60CEA"/>
    <w:rsid w:val="00C630D6"/>
    <w:rsid w:val="00C63237"/>
    <w:rsid w:val="00C661C3"/>
    <w:rsid w:val="00C67778"/>
    <w:rsid w:val="00C677CE"/>
    <w:rsid w:val="00C67ACF"/>
    <w:rsid w:val="00C707A1"/>
    <w:rsid w:val="00C72CFF"/>
    <w:rsid w:val="00C76172"/>
    <w:rsid w:val="00C76745"/>
    <w:rsid w:val="00C77CFF"/>
    <w:rsid w:val="00C8032E"/>
    <w:rsid w:val="00C80C58"/>
    <w:rsid w:val="00C832CC"/>
    <w:rsid w:val="00C84984"/>
    <w:rsid w:val="00C851CF"/>
    <w:rsid w:val="00C85350"/>
    <w:rsid w:val="00C855E5"/>
    <w:rsid w:val="00C8569D"/>
    <w:rsid w:val="00C926A7"/>
    <w:rsid w:val="00C95C03"/>
    <w:rsid w:val="00C9765F"/>
    <w:rsid w:val="00C97B20"/>
    <w:rsid w:val="00C97E25"/>
    <w:rsid w:val="00CA1AED"/>
    <w:rsid w:val="00CA48D1"/>
    <w:rsid w:val="00CA7AE3"/>
    <w:rsid w:val="00CB0E5A"/>
    <w:rsid w:val="00CB361B"/>
    <w:rsid w:val="00CB3702"/>
    <w:rsid w:val="00CB49CC"/>
    <w:rsid w:val="00CB58B5"/>
    <w:rsid w:val="00CB6248"/>
    <w:rsid w:val="00CC0650"/>
    <w:rsid w:val="00CC0CD5"/>
    <w:rsid w:val="00CC1793"/>
    <w:rsid w:val="00CC196B"/>
    <w:rsid w:val="00CC1EE9"/>
    <w:rsid w:val="00CC24D2"/>
    <w:rsid w:val="00CC6133"/>
    <w:rsid w:val="00CC62DD"/>
    <w:rsid w:val="00CC6FD6"/>
    <w:rsid w:val="00CC74BC"/>
    <w:rsid w:val="00CC79AA"/>
    <w:rsid w:val="00CD0181"/>
    <w:rsid w:val="00CD01C9"/>
    <w:rsid w:val="00CD4869"/>
    <w:rsid w:val="00CD5B98"/>
    <w:rsid w:val="00CD5F63"/>
    <w:rsid w:val="00CD5F7A"/>
    <w:rsid w:val="00CD65F6"/>
    <w:rsid w:val="00CD73BD"/>
    <w:rsid w:val="00CD7C18"/>
    <w:rsid w:val="00CE281D"/>
    <w:rsid w:val="00CE28AA"/>
    <w:rsid w:val="00CE439F"/>
    <w:rsid w:val="00CE7112"/>
    <w:rsid w:val="00CF1874"/>
    <w:rsid w:val="00CF46FC"/>
    <w:rsid w:val="00CF6917"/>
    <w:rsid w:val="00D022B8"/>
    <w:rsid w:val="00D02D59"/>
    <w:rsid w:val="00D02FD6"/>
    <w:rsid w:val="00D05B0B"/>
    <w:rsid w:val="00D062D7"/>
    <w:rsid w:val="00D06954"/>
    <w:rsid w:val="00D11DAD"/>
    <w:rsid w:val="00D1242D"/>
    <w:rsid w:val="00D15BF2"/>
    <w:rsid w:val="00D15BF7"/>
    <w:rsid w:val="00D20A2F"/>
    <w:rsid w:val="00D222BA"/>
    <w:rsid w:val="00D24739"/>
    <w:rsid w:val="00D24B7D"/>
    <w:rsid w:val="00D264C0"/>
    <w:rsid w:val="00D311F7"/>
    <w:rsid w:val="00D31E80"/>
    <w:rsid w:val="00D329B2"/>
    <w:rsid w:val="00D36619"/>
    <w:rsid w:val="00D371FE"/>
    <w:rsid w:val="00D40158"/>
    <w:rsid w:val="00D40942"/>
    <w:rsid w:val="00D42291"/>
    <w:rsid w:val="00D43C46"/>
    <w:rsid w:val="00D45391"/>
    <w:rsid w:val="00D465E4"/>
    <w:rsid w:val="00D51B05"/>
    <w:rsid w:val="00D57104"/>
    <w:rsid w:val="00D60592"/>
    <w:rsid w:val="00D6062A"/>
    <w:rsid w:val="00D60976"/>
    <w:rsid w:val="00D62634"/>
    <w:rsid w:val="00D62A9A"/>
    <w:rsid w:val="00D63001"/>
    <w:rsid w:val="00D63DA0"/>
    <w:rsid w:val="00D6516A"/>
    <w:rsid w:val="00D65949"/>
    <w:rsid w:val="00D6603C"/>
    <w:rsid w:val="00D679EB"/>
    <w:rsid w:val="00D73139"/>
    <w:rsid w:val="00D74281"/>
    <w:rsid w:val="00D80C28"/>
    <w:rsid w:val="00D81BC0"/>
    <w:rsid w:val="00D83E5D"/>
    <w:rsid w:val="00D85296"/>
    <w:rsid w:val="00D85A78"/>
    <w:rsid w:val="00D87F9C"/>
    <w:rsid w:val="00D90009"/>
    <w:rsid w:val="00D915F8"/>
    <w:rsid w:val="00D91945"/>
    <w:rsid w:val="00D928BE"/>
    <w:rsid w:val="00D9415A"/>
    <w:rsid w:val="00DA4546"/>
    <w:rsid w:val="00DA543D"/>
    <w:rsid w:val="00DA6028"/>
    <w:rsid w:val="00DA7305"/>
    <w:rsid w:val="00DB0E90"/>
    <w:rsid w:val="00DB167D"/>
    <w:rsid w:val="00DB1F7E"/>
    <w:rsid w:val="00DB29C3"/>
    <w:rsid w:val="00DB490F"/>
    <w:rsid w:val="00DB564D"/>
    <w:rsid w:val="00DB5AAE"/>
    <w:rsid w:val="00DB5D99"/>
    <w:rsid w:val="00DB656B"/>
    <w:rsid w:val="00DC08B7"/>
    <w:rsid w:val="00DC1654"/>
    <w:rsid w:val="00DC3EDB"/>
    <w:rsid w:val="00DC70DE"/>
    <w:rsid w:val="00DC73AD"/>
    <w:rsid w:val="00DD017C"/>
    <w:rsid w:val="00DD131E"/>
    <w:rsid w:val="00DD32A1"/>
    <w:rsid w:val="00DD33B1"/>
    <w:rsid w:val="00DD3C49"/>
    <w:rsid w:val="00DD3C92"/>
    <w:rsid w:val="00DD4BA5"/>
    <w:rsid w:val="00DD56FC"/>
    <w:rsid w:val="00DE02F8"/>
    <w:rsid w:val="00DE15EB"/>
    <w:rsid w:val="00DE39CD"/>
    <w:rsid w:val="00DE48D2"/>
    <w:rsid w:val="00DE5B0E"/>
    <w:rsid w:val="00DE7A84"/>
    <w:rsid w:val="00DE7E52"/>
    <w:rsid w:val="00DE7E87"/>
    <w:rsid w:val="00DE7EA5"/>
    <w:rsid w:val="00DF0733"/>
    <w:rsid w:val="00DF1ED2"/>
    <w:rsid w:val="00DF2E0B"/>
    <w:rsid w:val="00DF470C"/>
    <w:rsid w:val="00DF7D67"/>
    <w:rsid w:val="00E0006D"/>
    <w:rsid w:val="00E004D6"/>
    <w:rsid w:val="00E00C00"/>
    <w:rsid w:val="00E022A8"/>
    <w:rsid w:val="00E04014"/>
    <w:rsid w:val="00E048B2"/>
    <w:rsid w:val="00E04BB6"/>
    <w:rsid w:val="00E057F1"/>
    <w:rsid w:val="00E0603C"/>
    <w:rsid w:val="00E06368"/>
    <w:rsid w:val="00E0678E"/>
    <w:rsid w:val="00E068C9"/>
    <w:rsid w:val="00E103C0"/>
    <w:rsid w:val="00E12326"/>
    <w:rsid w:val="00E12443"/>
    <w:rsid w:val="00E125AE"/>
    <w:rsid w:val="00E12AD1"/>
    <w:rsid w:val="00E14610"/>
    <w:rsid w:val="00E17240"/>
    <w:rsid w:val="00E17F17"/>
    <w:rsid w:val="00E200C4"/>
    <w:rsid w:val="00E22381"/>
    <w:rsid w:val="00E22E81"/>
    <w:rsid w:val="00E233AD"/>
    <w:rsid w:val="00E23D22"/>
    <w:rsid w:val="00E23E2A"/>
    <w:rsid w:val="00E24D52"/>
    <w:rsid w:val="00E25546"/>
    <w:rsid w:val="00E278C1"/>
    <w:rsid w:val="00E3222F"/>
    <w:rsid w:val="00E33EDA"/>
    <w:rsid w:val="00E341D6"/>
    <w:rsid w:val="00E34789"/>
    <w:rsid w:val="00E37401"/>
    <w:rsid w:val="00E3796F"/>
    <w:rsid w:val="00E40687"/>
    <w:rsid w:val="00E50141"/>
    <w:rsid w:val="00E50C4D"/>
    <w:rsid w:val="00E50E26"/>
    <w:rsid w:val="00E50FE4"/>
    <w:rsid w:val="00E53CC2"/>
    <w:rsid w:val="00E55FF6"/>
    <w:rsid w:val="00E56CA8"/>
    <w:rsid w:val="00E612BA"/>
    <w:rsid w:val="00E62E00"/>
    <w:rsid w:val="00E62ED9"/>
    <w:rsid w:val="00E62F1D"/>
    <w:rsid w:val="00E6521A"/>
    <w:rsid w:val="00E67432"/>
    <w:rsid w:val="00E71E45"/>
    <w:rsid w:val="00E7521C"/>
    <w:rsid w:val="00E75360"/>
    <w:rsid w:val="00E75AC0"/>
    <w:rsid w:val="00E7685A"/>
    <w:rsid w:val="00E80D13"/>
    <w:rsid w:val="00E817C6"/>
    <w:rsid w:val="00E81ACD"/>
    <w:rsid w:val="00E83B75"/>
    <w:rsid w:val="00E84242"/>
    <w:rsid w:val="00E876F6"/>
    <w:rsid w:val="00E93153"/>
    <w:rsid w:val="00E950A3"/>
    <w:rsid w:val="00EA1413"/>
    <w:rsid w:val="00EA2B16"/>
    <w:rsid w:val="00EA30AE"/>
    <w:rsid w:val="00EA3E1A"/>
    <w:rsid w:val="00EA54F6"/>
    <w:rsid w:val="00EA7F4F"/>
    <w:rsid w:val="00EB06BD"/>
    <w:rsid w:val="00EB160E"/>
    <w:rsid w:val="00EB16B9"/>
    <w:rsid w:val="00EB2565"/>
    <w:rsid w:val="00EB27DC"/>
    <w:rsid w:val="00EB450B"/>
    <w:rsid w:val="00EB65C7"/>
    <w:rsid w:val="00EB7DB3"/>
    <w:rsid w:val="00EB7F3C"/>
    <w:rsid w:val="00EC0751"/>
    <w:rsid w:val="00EC1100"/>
    <w:rsid w:val="00EC1792"/>
    <w:rsid w:val="00EC17A5"/>
    <w:rsid w:val="00EC6D44"/>
    <w:rsid w:val="00EC7B45"/>
    <w:rsid w:val="00ED17E6"/>
    <w:rsid w:val="00ED2B89"/>
    <w:rsid w:val="00ED3962"/>
    <w:rsid w:val="00ED5CA9"/>
    <w:rsid w:val="00ED5D36"/>
    <w:rsid w:val="00ED5F4E"/>
    <w:rsid w:val="00EE0F57"/>
    <w:rsid w:val="00EE197A"/>
    <w:rsid w:val="00EE1D68"/>
    <w:rsid w:val="00EE3EF2"/>
    <w:rsid w:val="00EE69BE"/>
    <w:rsid w:val="00EF0EDE"/>
    <w:rsid w:val="00EF1307"/>
    <w:rsid w:val="00EF2F44"/>
    <w:rsid w:val="00EF469A"/>
    <w:rsid w:val="00EF5D54"/>
    <w:rsid w:val="00EF5EC0"/>
    <w:rsid w:val="00F01338"/>
    <w:rsid w:val="00F01489"/>
    <w:rsid w:val="00F0686F"/>
    <w:rsid w:val="00F0769B"/>
    <w:rsid w:val="00F11B75"/>
    <w:rsid w:val="00F12405"/>
    <w:rsid w:val="00F14F02"/>
    <w:rsid w:val="00F15CE1"/>
    <w:rsid w:val="00F15E1F"/>
    <w:rsid w:val="00F1751A"/>
    <w:rsid w:val="00F20015"/>
    <w:rsid w:val="00F20C9F"/>
    <w:rsid w:val="00F2260C"/>
    <w:rsid w:val="00F2302C"/>
    <w:rsid w:val="00F261D9"/>
    <w:rsid w:val="00F26211"/>
    <w:rsid w:val="00F27021"/>
    <w:rsid w:val="00F27AD2"/>
    <w:rsid w:val="00F312F9"/>
    <w:rsid w:val="00F32066"/>
    <w:rsid w:val="00F33F24"/>
    <w:rsid w:val="00F3402A"/>
    <w:rsid w:val="00F36433"/>
    <w:rsid w:val="00F37331"/>
    <w:rsid w:val="00F4109F"/>
    <w:rsid w:val="00F41E78"/>
    <w:rsid w:val="00F4202D"/>
    <w:rsid w:val="00F42DDB"/>
    <w:rsid w:val="00F430AB"/>
    <w:rsid w:val="00F51600"/>
    <w:rsid w:val="00F5218A"/>
    <w:rsid w:val="00F536DC"/>
    <w:rsid w:val="00F54AF7"/>
    <w:rsid w:val="00F609C2"/>
    <w:rsid w:val="00F60D8E"/>
    <w:rsid w:val="00F61E78"/>
    <w:rsid w:val="00F63E58"/>
    <w:rsid w:val="00F6461B"/>
    <w:rsid w:val="00F6582C"/>
    <w:rsid w:val="00F66DC8"/>
    <w:rsid w:val="00F70674"/>
    <w:rsid w:val="00F712ED"/>
    <w:rsid w:val="00F71A07"/>
    <w:rsid w:val="00F750BA"/>
    <w:rsid w:val="00F75DD1"/>
    <w:rsid w:val="00F82D7F"/>
    <w:rsid w:val="00F84638"/>
    <w:rsid w:val="00F847E6"/>
    <w:rsid w:val="00F85849"/>
    <w:rsid w:val="00F86417"/>
    <w:rsid w:val="00F879AD"/>
    <w:rsid w:val="00F87FA7"/>
    <w:rsid w:val="00F90F44"/>
    <w:rsid w:val="00F9138A"/>
    <w:rsid w:val="00F92266"/>
    <w:rsid w:val="00F927DF"/>
    <w:rsid w:val="00F93379"/>
    <w:rsid w:val="00F959AF"/>
    <w:rsid w:val="00F972A6"/>
    <w:rsid w:val="00FA0F8E"/>
    <w:rsid w:val="00FA372A"/>
    <w:rsid w:val="00FA4B87"/>
    <w:rsid w:val="00FA54A4"/>
    <w:rsid w:val="00FB01BC"/>
    <w:rsid w:val="00FB03A0"/>
    <w:rsid w:val="00FB0817"/>
    <w:rsid w:val="00FB084F"/>
    <w:rsid w:val="00FB1375"/>
    <w:rsid w:val="00FB2696"/>
    <w:rsid w:val="00FB2FFF"/>
    <w:rsid w:val="00FB48B4"/>
    <w:rsid w:val="00FB688E"/>
    <w:rsid w:val="00FC3931"/>
    <w:rsid w:val="00FC5270"/>
    <w:rsid w:val="00FC6D9F"/>
    <w:rsid w:val="00FC7BC5"/>
    <w:rsid w:val="00FD0B45"/>
    <w:rsid w:val="00FD0EF2"/>
    <w:rsid w:val="00FD1302"/>
    <w:rsid w:val="00FD19BB"/>
    <w:rsid w:val="00FD1E53"/>
    <w:rsid w:val="00FD44EE"/>
    <w:rsid w:val="00FD6383"/>
    <w:rsid w:val="00FD7ACA"/>
    <w:rsid w:val="00FE1278"/>
    <w:rsid w:val="00FE749C"/>
    <w:rsid w:val="00FE7694"/>
    <w:rsid w:val="00FF14DB"/>
    <w:rsid w:val="00FF2243"/>
    <w:rsid w:val="00FF31D0"/>
    <w:rsid w:val="426F0B0E"/>
    <w:rsid w:val="5B352173"/>
    <w:rsid w:val="73B06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iPriority="99"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pPr>
    <w:rPr>
      <w:rFonts w:ascii="微软雅黑" w:hAnsi="微软雅黑" w:eastAsia="微软雅黑" w:cs="微软雅黑"/>
      <w:sz w:val="21"/>
      <w:lang w:val="en-GB" w:eastAsia="zh-CN" w:bidi="ar-SA"/>
    </w:rPr>
  </w:style>
  <w:style w:type="paragraph" w:styleId="2">
    <w:name w:val="heading 1"/>
    <w:next w:val="3"/>
    <w:link w:val="50"/>
    <w:autoRedefine/>
    <w:qFormat/>
    <w:uiPriority w:val="9"/>
    <w:pPr>
      <w:keepNext/>
      <w:numPr>
        <w:ilvl w:val="0"/>
        <w:numId w:val="1"/>
      </w:numPr>
      <w:pBdr>
        <w:bottom w:val="single" w:color="7F7F7F" w:themeColor="background1" w:themeShade="80" w:sz="12" w:space="1"/>
      </w:pBdr>
      <w:kinsoku w:val="0"/>
      <w:spacing w:before="240" w:after="60"/>
      <w:ind w:left="432" w:hanging="432"/>
      <w:outlineLvl w:val="0"/>
    </w:pPr>
    <w:rPr>
      <w:rFonts w:ascii="微软雅黑" w:hAnsi="微软雅黑" w:eastAsia="微软雅黑" w:cs="微软雅黑"/>
      <w:b/>
      <w:bCs/>
      <w:color w:val="ED7D31" w:themeColor="accent2"/>
      <w:kern w:val="32"/>
      <w:sz w:val="28"/>
      <w:szCs w:val="28"/>
      <w:lang w:val="en-US" w:eastAsia="zh-CN" w:bidi="ar-SA"/>
      <w14:textFill>
        <w14:solidFill>
          <w14:schemeClr w14:val="accent2"/>
        </w14:solidFill>
      </w14:textFill>
    </w:rPr>
  </w:style>
  <w:style w:type="paragraph" w:styleId="4">
    <w:name w:val="heading 2"/>
    <w:next w:val="3"/>
    <w:link w:val="53"/>
    <w:autoRedefine/>
    <w:qFormat/>
    <w:uiPriority w:val="9"/>
    <w:pPr>
      <w:keepNext/>
      <w:numPr>
        <w:ilvl w:val="1"/>
        <w:numId w:val="1"/>
      </w:numPr>
      <w:kinsoku w:val="0"/>
      <w:spacing w:before="24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link w:val="54"/>
    <w:autoRedefine/>
    <w:qFormat/>
    <w:uiPriority w:val="9"/>
    <w:pPr>
      <w:keepNext/>
      <w:numPr>
        <w:ilvl w:val="2"/>
        <w:numId w:val="1"/>
      </w:numPr>
      <w:spacing w:before="240" w:after="60"/>
      <w:outlineLvl w:val="2"/>
    </w:pPr>
    <w:rPr>
      <w:rFonts w:ascii="微软雅黑" w:hAnsi="微软雅黑" w:eastAsia="微软雅黑" w:cs="微软雅黑"/>
      <w:b/>
      <w:bCs/>
      <w:sz w:val="24"/>
      <w:szCs w:val="21"/>
      <w:lang w:val="en-US" w:eastAsia="zh-CN" w:bidi="ar-SA"/>
    </w:rPr>
  </w:style>
  <w:style w:type="paragraph" w:styleId="6">
    <w:name w:val="heading 4"/>
    <w:basedOn w:val="1"/>
    <w:next w:val="1"/>
    <w:link w:val="55"/>
    <w:autoRedefine/>
    <w:qFormat/>
    <w:uiPriority w:val="9"/>
    <w:pPr>
      <w:keepNext/>
      <w:numPr>
        <w:ilvl w:val="3"/>
        <w:numId w:val="1"/>
      </w:numPr>
      <w:spacing w:before="240" w:after="60"/>
      <w:outlineLvl w:val="3"/>
    </w:pPr>
    <w:rPr>
      <w:b/>
      <w:bCs/>
      <w:szCs w:val="28"/>
    </w:rPr>
  </w:style>
  <w:style w:type="paragraph" w:styleId="7">
    <w:name w:val="heading 5"/>
    <w:basedOn w:val="1"/>
    <w:next w:val="1"/>
    <w:link w:val="56"/>
    <w:autoRedefine/>
    <w:qFormat/>
    <w:uiPriority w:val="9"/>
    <w:pPr>
      <w:numPr>
        <w:ilvl w:val="4"/>
        <w:numId w:val="1"/>
      </w:numPr>
      <w:spacing w:before="240" w:after="60"/>
      <w:outlineLvl w:val="4"/>
    </w:pPr>
    <w:rPr>
      <w:b/>
      <w:bCs/>
      <w:iCs/>
      <w:szCs w:val="26"/>
    </w:rPr>
  </w:style>
  <w:style w:type="paragraph" w:styleId="8">
    <w:name w:val="heading 6"/>
    <w:basedOn w:val="1"/>
    <w:next w:val="1"/>
    <w:link w:val="57"/>
    <w:autoRedefine/>
    <w:qFormat/>
    <w:uiPriority w:val="9"/>
    <w:pPr>
      <w:numPr>
        <w:ilvl w:val="5"/>
        <w:numId w:val="1"/>
      </w:numPr>
      <w:spacing w:before="240" w:after="60"/>
      <w:outlineLvl w:val="5"/>
    </w:pPr>
    <w:rPr>
      <w:b/>
      <w:bCs/>
      <w:szCs w:val="22"/>
    </w:rPr>
  </w:style>
  <w:style w:type="paragraph" w:styleId="9">
    <w:name w:val="heading 7"/>
    <w:basedOn w:val="1"/>
    <w:next w:val="1"/>
    <w:link w:val="58"/>
    <w:autoRedefine/>
    <w:qFormat/>
    <w:uiPriority w:val="9"/>
    <w:pPr>
      <w:numPr>
        <w:ilvl w:val="6"/>
        <w:numId w:val="1"/>
      </w:numPr>
      <w:spacing w:before="240" w:after="60"/>
      <w:outlineLvl w:val="6"/>
    </w:pPr>
    <w:rPr>
      <w:szCs w:val="24"/>
    </w:rPr>
  </w:style>
  <w:style w:type="paragraph" w:styleId="10">
    <w:name w:val="heading 8"/>
    <w:basedOn w:val="1"/>
    <w:next w:val="1"/>
    <w:link w:val="59"/>
    <w:autoRedefine/>
    <w:qFormat/>
    <w:uiPriority w:val="9"/>
    <w:pPr>
      <w:numPr>
        <w:ilvl w:val="7"/>
        <w:numId w:val="1"/>
      </w:numPr>
      <w:spacing w:before="240" w:after="60"/>
      <w:outlineLvl w:val="7"/>
    </w:pPr>
    <w:rPr>
      <w:i/>
      <w:iCs/>
      <w:szCs w:val="24"/>
    </w:rPr>
  </w:style>
  <w:style w:type="paragraph" w:styleId="11">
    <w:name w:val="heading 9"/>
    <w:basedOn w:val="1"/>
    <w:next w:val="1"/>
    <w:link w:val="60"/>
    <w:autoRedefine/>
    <w:qFormat/>
    <w:uiPriority w:val="9"/>
    <w:pPr>
      <w:numPr>
        <w:ilvl w:val="8"/>
        <w:numId w:val="1"/>
      </w:numPr>
      <w:spacing w:before="240" w:after="60"/>
      <w:outlineLvl w:val="8"/>
    </w:pPr>
    <w:rPr>
      <w:rFonts w:ascii="Arial" w:hAnsi="Arial" w:cs="Arial"/>
      <w:sz w:val="22"/>
      <w:szCs w:val="22"/>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adjustRightInd w:val="0"/>
      <w:snapToGrid w:val="0"/>
      <w:jc w:val="both"/>
    </w:pPr>
    <w:rPr>
      <w:rFonts w:ascii="微软雅黑" w:hAnsi="微软雅黑" w:eastAsia="微软雅黑" w:cs="微软雅黑"/>
      <w:sz w:val="24"/>
      <w:szCs w:val="21"/>
      <w:lang w:val="en-GB" w:eastAsia="zh-CN" w:bidi="ar-SA"/>
    </w:rPr>
  </w:style>
  <w:style w:type="paragraph" w:styleId="12">
    <w:name w:val="List Number 2"/>
    <w:basedOn w:val="1"/>
    <w:autoRedefine/>
    <w:unhideWhenUsed/>
    <w:qFormat/>
    <w:uiPriority w:val="99"/>
    <w:pPr>
      <w:widowControl w:val="0"/>
      <w:numPr>
        <w:ilvl w:val="0"/>
        <w:numId w:val="2"/>
      </w:numPr>
      <w:contextualSpacing/>
      <w:jc w:val="both"/>
    </w:pPr>
    <w:rPr>
      <w:rFonts w:asciiTheme="minorHAnsi" w:hAnsiTheme="minorHAnsi" w:eastAsiaTheme="minorEastAsia" w:cstheme="minorBidi"/>
      <w:kern w:val="2"/>
      <w:szCs w:val="22"/>
      <w:lang w:val="en-US"/>
    </w:rPr>
  </w:style>
  <w:style w:type="paragraph" w:styleId="13">
    <w:name w:val="List Number"/>
    <w:basedOn w:val="1"/>
    <w:autoRedefine/>
    <w:unhideWhenUsed/>
    <w:qFormat/>
    <w:uiPriority w:val="99"/>
    <w:pPr>
      <w:widowControl w:val="0"/>
      <w:numPr>
        <w:ilvl w:val="0"/>
        <w:numId w:val="3"/>
      </w:numPr>
      <w:contextualSpacing/>
      <w:jc w:val="both"/>
    </w:pPr>
    <w:rPr>
      <w:rFonts w:asciiTheme="minorHAnsi" w:hAnsiTheme="minorHAnsi" w:eastAsiaTheme="minorEastAsia" w:cstheme="minorBidi"/>
      <w:kern w:val="2"/>
      <w:szCs w:val="22"/>
      <w:lang w:val="en-US"/>
    </w:rPr>
  </w:style>
  <w:style w:type="paragraph" w:styleId="14">
    <w:name w:val="Normal Indent"/>
    <w:basedOn w:val="1"/>
    <w:link w:val="52"/>
    <w:autoRedefine/>
    <w:qFormat/>
    <w:uiPriority w:val="0"/>
    <w:pPr>
      <w:widowControl w:val="0"/>
      <w:spacing w:line="315" w:lineRule="atLeast"/>
      <w:ind w:firstLine="420"/>
      <w:jc w:val="both"/>
      <w:textAlignment w:val="baseline"/>
    </w:pPr>
    <w:rPr>
      <w:rFonts w:ascii="宋体"/>
      <w:lang w:val="en-US"/>
    </w:rPr>
  </w:style>
  <w:style w:type="paragraph" w:styleId="15">
    <w:name w:val="caption"/>
    <w:basedOn w:val="1"/>
    <w:next w:val="1"/>
    <w:autoRedefine/>
    <w:unhideWhenUsed/>
    <w:qFormat/>
    <w:uiPriority w:val="0"/>
    <w:pPr>
      <w:jc w:val="center"/>
    </w:pPr>
    <w:rPr>
      <w:rFonts w:eastAsia="黑体" w:asciiTheme="majorHAnsi" w:hAnsiTheme="majorHAnsi" w:cstheme="majorBidi"/>
    </w:rPr>
  </w:style>
  <w:style w:type="paragraph" w:styleId="16">
    <w:name w:val="Document Map"/>
    <w:basedOn w:val="1"/>
    <w:autoRedefine/>
    <w:semiHidden/>
    <w:qFormat/>
    <w:uiPriority w:val="0"/>
    <w:pPr>
      <w:shd w:val="clear" w:color="auto" w:fill="000080"/>
    </w:pPr>
  </w:style>
  <w:style w:type="paragraph" w:styleId="17">
    <w:name w:val="annotation text"/>
    <w:basedOn w:val="1"/>
    <w:link w:val="46"/>
    <w:autoRedefine/>
    <w:qFormat/>
    <w:uiPriority w:val="0"/>
  </w:style>
  <w:style w:type="paragraph" w:styleId="18">
    <w:name w:val="Body Text Indent"/>
    <w:basedOn w:val="1"/>
    <w:link w:val="39"/>
    <w:autoRedefine/>
    <w:qFormat/>
    <w:uiPriority w:val="0"/>
    <w:pPr>
      <w:widowControl w:val="0"/>
      <w:spacing w:line="400" w:lineRule="exact"/>
      <w:ind w:firstLine="480" w:firstLineChars="200"/>
      <w:jc w:val="both"/>
    </w:pPr>
    <w:rPr>
      <w:rFonts w:ascii="宋体" w:hAnsi="宋体"/>
      <w:kern w:val="2"/>
      <w:szCs w:val="24"/>
      <w:lang w:val="en-US"/>
    </w:rPr>
  </w:style>
  <w:style w:type="paragraph" w:styleId="19">
    <w:name w:val="List 2"/>
    <w:basedOn w:val="1"/>
    <w:autoRedefine/>
    <w:unhideWhenUsed/>
    <w:qFormat/>
    <w:uiPriority w:val="99"/>
    <w:pPr>
      <w:widowControl w:val="0"/>
      <w:ind w:left="100" w:leftChars="200" w:hanging="200" w:hangingChars="200"/>
      <w:contextualSpacing/>
      <w:jc w:val="both"/>
    </w:pPr>
    <w:rPr>
      <w:rFonts w:asciiTheme="minorHAnsi" w:hAnsiTheme="minorHAnsi" w:eastAsiaTheme="minorEastAsia" w:cstheme="minorBidi"/>
      <w:kern w:val="2"/>
      <w:szCs w:val="22"/>
      <w:lang w:val="en-US"/>
    </w:rPr>
  </w:style>
  <w:style w:type="paragraph" w:styleId="20">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21">
    <w:name w:val="Date"/>
    <w:basedOn w:val="1"/>
    <w:next w:val="1"/>
    <w:link w:val="51"/>
    <w:autoRedefine/>
    <w:qFormat/>
    <w:uiPriority w:val="0"/>
    <w:pPr>
      <w:ind w:left="100" w:leftChars="2500"/>
    </w:pPr>
  </w:style>
  <w:style w:type="paragraph" w:styleId="22">
    <w:name w:val="Balloon Text"/>
    <w:basedOn w:val="1"/>
    <w:link w:val="48"/>
    <w:autoRedefine/>
    <w:qFormat/>
    <w:uiPriority w:val="99"/>
    <w:rPr>
      <w:szCs w:val="18"/>
    </w:rPr>
  </w:style>
  <w:style w:type="paragraph" w:styleId="23">
    <w:name w:val="footer"/>
    <w:basedOn w:val="1"/>
    <w:link w:val="43"/>
    <w:autoRedefine/>
    <w:qFormat/>
    <w:uiPriority w:val="99"/>
    <w:pPr>
      <w:tabs>
        <w:tab w:val="center" w:pos="4153"/>
        <w:tab w:val="right" w:pos="8306"/>
      </w:tabs>
    </w:pPr>
    <w:rPr>
      <w:szCs w:val="18"/>
    </w:rPr>
  </w:style>
  <w:style w:type="paragraph" w:styleId="24">
    <w:name w:val="header"/>
    <w:basedOn w:val="1"/>
    <w:link w:val="62"/>
    <w:autoRedefine/>
    <w:qFormat/>
    <w:uiPriority w:val="99"/>
    <w:pPr>
      <w:pBdr>
        <w:bottom w:val="single" w:color="auto" w:sz="6" w:space="1"/>
      </w:pBdr>
      <w:tabs>
        <w:tab w:val="center" w:pos="4153"/>
        <w:tab w:val="right" w:pos="8306"/>
      </w:tabs>
      <w:jc w:val="center"/>
    </w:pPr>
    <w:rPr>
      <w:szCs w:val="18"/>
    </w:rPr>
  </w:style>
  <w:style w:type="paragraph" w:styleId="25">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6">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7">
    <w:name w:val="Normal (Web)"/>
    <w:basedOn w:val="1"/>
    <w:autoRedefine/>
    <w:unhideWhenUsed/>
    <w:qFormat/>
    <w:uiPriority w:val="99"/>
    <w:pPr>
      <w:spacing w:before="100" w:beforeAutospacing="1" w:after="100" w:afterAutospacing="1"/>
    </w:pPr>
    <w:rPr>
      <w:rFonts w:ascii="宋体" w:hAnsi="宋体" w:cs="宋体"/>
      <w:szCs w:val="24"/>
      <w:lang w:val="en-US"/>
    </w:rPr>
  </w:style>
  <w:style w:type="paragraph" w:styleId="28">
    <w:name w:val="Title"/>
    <w:basedOn w:val="1"/>
    <w:next w:val="1"/>
    <w:link w:val="61"/>
    <w:autoRedefine/>
    <w:qFormat/>
    <w:uiPriority w:val="10"/>
    <w:pPr>
      <w:widowControl w:val="0"/>
      <w:spacing w:before="240" w:after="60"/>
      <w:jc w:val="center"/>
      <w:outlineLvl w:val="0"/>
    </w:pPr>
    <w:rPr>
      <w:rFonts w:asciiTheme="majorHAnsi" w:hAnsiTheme="majorHAnsi" w:cstheme="majorBidi"/>
      <w:b/>
      <w:bCs/>
      <w:kern w:val="2"/>
      <w:sz w:val="32"/>
      <w:szCs w:val="32"/>
      <w:lang w:val="en-US"/>
    </w:rPr>
  </w:style>
  <w:style w:type="paragraph" w:styleId="29">
    <w:name w:val="annotation subject"/>
    <w:basedOn w:val="17"/>
    <w:next w:val="17"/>
    <w:link w:val="47"/>
    <w:autoRedefine/>
    <w:qFormat/>
    <w:uiPriority w:val="0"/>
    <w:rPr>
      <w:b/>
      <w:bCs/>
    </w:rPr>
  </w:style>
  <w:style w:type="table" w:styleId="31">
    <w:name w:val="Table Grid"/>
    <w:basedOn w:val="30"/>
    <w:autoRedefine/>
    <w:qFormat/>
    <w:uiPriority w:val="5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22"/>
    <w:rPr>
      <w:b/>
      <w:bCs/>
    </w:rPr>
  </w:style>
  <w:style w:type="character" w:styleId="34">
    <w:name w:val="page number"/>
    <w:basedOn w:val="32"/>
    <w:autoRedefine/>
    <w:qFormat/>
    <w:uiPriority w:val="0"/>
  </w:style>
  <w:style w:type="character" w:styleId="35">
    <w:name w:val="FollowedHyperlink"/>
    <w:autoRedefine/>
    <w:qFormat/>
    <w:uiPriority w:val="0"/>
    <w:rPr>
      <w:color w:val="800080"/>
      <w:u w:val="single"/>
    </w:rPr>
  </w:style>
  <w:style w:type="character" w:styleId="36">
    <w:name w:val="Emphasis"/>
    <w:basedOn w:val="32"/>
    <w:autoRedefine/>
    <w:qFormat/>
    <w:uiPriority w:val="0"/>
    <w:rPr>
      <w:i/>
      <w:iCs/>
    </w:rPr>
  </w:style>
  <w:style w:type="character" w:styleId="37">
    <w:name w:val="Hyperlink"/>
    <w:autoRedefine/>
    <w:qFormat/>
    <w:uiPriority w:val="99"/>
    <w:rPr>
      <w:color w:val="0000FF"/>
      <w:u w:val="single"/>
    </w:rPr>
  </w:style>
  <w:style w:type="character" w:styleId="38">
    <w:name w:val="annotation reference"/>
    <w:autoRedefine/>
    <w:qFormat/>
    <w:uiPriority w:val="0"/>
    <w:rPr>
      <w:sz w:val="21"/>
      <w:szCs w:val="21"/>
    </w:rPr>
  </w:style>
  <w:style w:type="character" w:customStyle="1" w:styleId="39">
    <w:name w:val="正文文本缩进 Char"/>
    <w:link w:val="18"/>
    <w:autoRedefine/>
    <w:qFormat/>
    <w:uiPriority w:val="0"/>
    <w:rPr>
      <w:rFonts w:ascii="宋体" w:hAnsi="宋体" w:eastAsia="宋体"/>
      <w:kern w:val="2"/>
      <w:sz w:val="24"/>
      <w:szCs w:val="24"/>
      <w:lang w:val="en-US" w:eastAsia="zh-CN" w:bidi="ar-SA"/>
    </w:rPr>
  </w:style>
  <w:style w:type="paragraph" w:customStyle="1" w:styleId="40">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41">
    <w:name w:val="Char Char2"/>
    <w:autoRedefine/>
    <w:qFormat/>
    <w:locked/>
    <w:uiPriority w:val="0"/>
    <w:rPr>
      <w:rFonts w:ascii="宋体" w:hAnsi="宋体" w:eastAsia="宋体"/>
      <w:kern w:val="2"/>
      <w:sz w:val="24"/>
      <w:szCs w:val="24"/>
      <w:lang w:val="en-US" w:eastAsia="zh-CN" w:bidi="ar-SA"/>
    </w:rPr>
  </w:style>
  <w:style w:type="character" w:customStyle="1" w:styleId="42">
    <w:name w:val="Char Char21"/>
    <w:autoRedefine/>
    <w:qFormat/>
    <w:uiPriority w:val="0"/>
    <w:rPr>
      <w:rFonts w:ascii="宋体" w:hAnsi="宋体" w:eastAsia="宋体" w:cs="Times New Roman"/>
      <w:sz w:val="24"/>
      <w:szCs w:val="24"/>
    </w:rPr>
  </w:style>
  <w:style w:type="character" w:customStyle="1" w:styleId="43">
    <w:name w:val="页脚 Char"/>
    <w:link w:val="23"/>
    <w:autoRedefine/>
    <w:qFormat/>
    <w:uiPriority w:val="99"/>
    <w:rPr>
      <w:rFonts w:eastAsia="宋体"/>
      <w:sz w:val="18"/>
      <w:szCs w:val="18"/>
      <w:lang w:val="en-GB" w:eastAsia="zh-CN" w:bidi="ar-SA"/>
    </w:rPr>
  </w:style>
  <w:style w:type="character" w:customStyle="1" w:styleId="44">
    <w:name w:val="Char Char1"/>
    <w:autoRedefine/>
    <w:qFormat/>
    <w:uiPriority w:val="0"/>
    <w:rPr>
      <w:rFonts w:ascii="宋体" w:hAnsi="宋体" w:eastAsia="宋体"/>
      <w:kern w:val="2"/>
      <w:sz w:val="24"/>
      <w:szCs w:val="24"/>
      <w:lang w:val="en-US" w:eastAsia="zh-CN" w:bidi="ar-SA"/>
    </w:rPr>
  </w:style>
  <w:style w:type="character" w:customStyle="1" w:styleId="45">
    <w:name w:val="Char Char"/>
    <w:autoRedefine/>
    <w:qFormat/>
    <w:locked/>
    <w:uiPriority w:val="0"/>
    <w:rPr>
      <w:rFonts w:ascii="宋体" w:hAnsi="宋体" w:eastAsia="宋体"/>
      <w:kern w:val="2"/>
      <w:sz w:val="24"/>
      <w:szCs w:val="24"/>
      <w:lang w:val="en-US" w:eastAsia="zh-CN" w:bidi="ar-SA"/>
    </w:rPr>
  </w:style>
  <w:style w:type="character" w:customStyle="1" w:styleId="46">
    <w:name w:val="批注文字 Char"/>
    <w:link w:val="17"/>
    <w:autoRedefine/>
    <w:qFormat/>
    <w:uiPriority w:val="0"/>
    <w:rPr>
      <w:sz w:val="18"/>
      <w:lang w:val="en-GB"/>
    </w:rPr>
  </w:style>
  <w:style w:type="character" w:customStyle="1" w:styleId="47">
    <w:name w:val="批注主题 Char"/>
    <w:link w:val="29"/>
    <w:autoRedefine/>
    <w:qFormat/>
    <w:uiPriority w:val="0"/>
    <w:rPr>
      <w:b/>
      <w:bCs/>
      <w:sz w:val="18"/>
      <w:lang w:val="en-GB"/>
    </w:rPr>
  </w:style>
  <w:style w:type="character" w:customStyle="1" w:styleId="48">
    <w:name w:val="批注框文本 Char"/>
    <w:link w:val="22"/>
    <w:autoRedefine/>
    <w:qFormat/>
    <w:uiPriority w:val="99"/>
    <w:rPr>
      <w:sz w:val="18"/>
      <w:szCs w:val="18"/>
      <w:lang w:val="en-GB"/>
    </w:rPr>
  </w:style>
  <w:style w:type="paragraph" w:styleId="49">
    <w:name w:val="List Paragraph"/>
    <w:basedOn w:val="1"/>
    <w:autoRedefine/>
    <w:qFormat/>
    <w:uiPriority w:val="34"/>
    <w:pPr>
      <w:ind w:firstLine="420" w:firstLineChars="200"/>
    </w:pPr>
  </w:style>
  <w:style w:type="character" w:customStyle="1" w:styleId="50">
    <w:name w:val="标题 1 Char"/>
    <w:basedOn w:val="32"/>
    <w:link w:val="2"/>
    <w:autoRedefine/>
    <w:qFormat/>
    <w:uiPriority w:val="9"/>
    <w:rPr>
      <w:rFonts w:ascii="微软雅黑" w:hAnsi="微软雅黑" w:eastAsia="微软雅黑" w:cs="微软雅黑"/>
      <w:b/>
      <w:bCs/>
      <w:color w:val="ED7D31" w:themeColor="accent2"/>
      <w:kern w:val="32"/>
      <w:sz w:val="28"/>
      <w:szCs w:val="28"/>
      <w14:textFill>
        <w14:solidFill>
          <w14:schemeClr w14:val="accent2"/>
        </w14:solidFill>
      </w14:textFill>
    </w:rPr>
  </w:style>
  <w:style w:type="character" w:customStyle="1" w:styleId="51">
    <w:name w:val="日期 Char"/>
    <w:basedOn w:val="32"/>
    <w:link w:val="21"/>
    <w:autoRedefine/>
    <w:qFormat/>
    <w:uiPriority w:val="0"/>
    <w:rPr>
      <w:sz w:val="18"/>
      <w:lang w:val="en-GB"/>
    </w:rPr>
  </w:style>
  <w:style w:type="character" w:customStyle="1" w:styleId="52">
    <w:name w:val="正文缩进 Char1"/>
    <w:link w:val="14"/>
    <w:autoRedefine/>
    <w:qFormat/>
    <w:uiPriority w:val="0"/>
    <w:rPr>
      <w:rFonts w:ascii="宋体"/>
      <w:sz w:val="21"/>
    </w:rPr>
  </w:style>
  <w:style w:type="character" w:customStyle="1" w:styleId="53">
    <w:name w:val="标题 2 Char"/>
    <w:basedOn w:val="32"/>
    <w:link w:val="4"/>
    <w:autoRedefine/>
    <w:qFormat/>
    <w:uiPriority w:val="9"/>
    <w:rPr>
      <w:rFonts w:ascii="微软雅黑" w:hAnsi="微软雅黑" w:eastAsia="微软雅黑" w:cs="微软雅黑"/>
      <w:b/>
      <w:bCs/>
      <w:iCs/>
      <w:color w:val="000000"/>
      <w:sz w:val="24"/>
      <w:szCs w:val="24"/>
    </w:rPr>
  </w:style>
  <w:style w:type="character" w:customStyle="1" w:styleId="54">
    <w:name w:val="标题 3 Char"/>
    <w:basedOn w:val="32"/>
    <w:link w:val="5"/>
    <w:autoRedefine/>
    <w:qFormat/>
    <w:uiPriority w:val="9"/>
    <w:rPr>
      <w:rFonts w:ascii="微软雅黑" w:hAnsi="微软雅黑" w:eastAsia="微软雅黑" w:cs="微软雅黑"/>
      <w:b/>
      <w:bCs/>
      <w:sz w:val="24"/>
      <w:szCs w:val="21"/>
    </w:rPr>
  </w:style>
  <w:style w:type="character" w:customStyle="1" w:styleId="55">
    <w:name w:val="标题 4 Char"/>
    <w:basedOn w:val="32"/>
    <w:link w:val="6"/>
    <w:autoRedefine/>
    <w:qFormat/>
    <w:uiPriority w:val="9"/>
    <w:rPr>
      <w:b/>
      <w:bCs/>
      <w:sz w:val="21"/>
      <w:szCs w:val="28"/>
      <w:lang w:val="en-GB"/>
    </w:rPr>
  </w:style>
  <w:style w:type="character" w:customStyle="1" w:styleId="56">
    <w:name w:val="标题 5 Char"/>
    <w:basedOn w:val="32"/>
    <w:link w:val="7"/>
    <w:autoRedefine/>
    <w:qFormat/>
    <w:uiPriority w:val="9"/>
    <w:rPr>
      <w:b/>
      <w:bCs/>
      <w:iCs/>
      <w:sz w:val="21"/>
      <w:szCs w:val="26"/>
      <w:lang w:val="en-GB"/>
    </w:rPr>
  </w:style>
  <w:style w:type="character" w:customStyle="1" w:styleId="57">
    <w:name w:val="标题 6 Char"/>
    <w:basedOn w:val="32"/>
    <w:link w:val="8"/>
    <w:autoRedefine/>
    <w:qFormat/>
    <w:uiPriority w:val="9"/>
    <w:rPr>
      <w:b/>
      <w:bCs/>
      <w:sz w:val="21"/>
      <w:szCs w:val="22"/>
      <w:lang w:val="en-GB"/>
    </w:rPr>
  </w:style>
  <w:style w:type="character" w:customStyle="1" w:styleId="58">
    <w:name w:val="标题 7 Char"/>
    <w:basedOn w:val="32"/>
    <w:link w:val="9"/>
    <w:autoRedefine/>
    <w:qFormat/>
    <w:uiPriority w:val="9"/>
    <w:rPr>
      <w:sz w:val="24"/>
      <w:szCs w:val="24"/>
      <w:lang w:val="en-GB"/>
    </w:rPr>
  </w:style>
  <w:style w:type="character" w:customStyle="1" w:styleId="59">
    <w:name w:val="标题 8 Char"/>
    <w:basedOn w:val="32"/>
    <w:link w:val="10"/>
    <w:autoRedefine/>
    <w:qFormat/>
    <w:uiPriority w:val="9"/>
    <w:rPr>
      <w:i/>
      <w:iCs/>
      <w:sz w:val="24"/>
      <w:szCs w:val="24"/>
      <w:lang w:val="en-GB"/>
    </w:rPr>
  </w:style>
  <w:style w:type="character" w:customStyle="1" w:styleId="60">
    <w:name w:val="标题 9 Char"/>
    <w:basedOn w:val="32"/>
    <w:link w:val="11"/>
    <w:autoRedefine/>
    <w:qFormat/>
    <w:uiPriority w:val="9"/>
    <w:rPr>
      <w:rFonts w:ascii="Arial" w:hAnsi="Arial" w:cs="Arial"/>
      <w:sz w:val="22"/>
      <w:szCs w:val="22"/>
      <w:lang w:val="en-GB"/>
    </w:rPr>
  </w:style>
  <w:style w:type="character" w:customStyle="1" w:styleId="61">
    <w:name w:val="标题 Char"/>
    <w:basedOn w:val="32"/>
    <w:link w:val="28"/>
    <w:autoRedefine/>
    <w:qFormat/>
    <w:uiPriority w:val="10"/>
    <w:rPr>
      <w:rFonts w:asciiTheme="majorHAnsi" w:hAnsiTheme="majorHAnsi" w:cstheme="majorBidi"/>
      <w:b/>
      <w:bCs/>
      <w:kern w:val="2"/>
      <w:sz w:val="32"/>
      <w:szCs w:val="32"/>
    </w:rPr>
  </w:style>
  <w:style w:type="character" w:customStyle="1" w:styleId="62">
    <w:name w:val="页眉 Char"/>
    <w:basedOn w:val="32"/>
    <w:link w:val="24"/>
    <w:autoRedefine/>
    <w:qFormat/>
    <w:uiPriority w:val="99"/>
    <w:rPr>
      <w:sz w:val="18"/>
      <w:szCs w:val="18"/>
      <w:lang w:val="en-GB"/>
    </w:rPr>
  </w:style>
  <w:style w:type="character" w:customStyle="1" w:styleId="63">
    <w:name w:val="seatsp"/>
    <w:basedOn w:val="32"/>
    <w:autoRedefine/>
    <w:qFormat/>
    <w:uiPriority w:val="0"/>
  </w:style>
  <w:style w:type="character" w:customStyle="1" w:styleId="64">
    <w:name w:val="ss3"/>
    <w:basedOn w:val="32"/>
    <w:autoRedefine/>
    <w:qFormat/>
    <w:uiPriority w:val="0"/>
  </w:style>
  <w:style w:type="character" w:customStyle="1" w:styleId="65">
    <w:name w:val="正文格式 Char Char"/>
    <w:link w:val="66"/>
    <w:autoRedefine/>
    <w:qFormat/>
    <w:uiPriority w:val="0"/>
    <w:rPr>
      <w:rFonts w:eastAsia="仿宋_GB2312" w:cs="宋体"/>
      <w:color w:val="000000"/>
      <w:kern w:val="2"/>
      <w:sz w:val="28"/>
    </w:rPr>
  </w:style>
  <w:style w:type="paragraph" w:customStyle="1" w:styleId="66">
    <w:name w:val="正文格式"/>
    <w:basedOn w:val="1"/>
    <w:link w:val="65"/>
    <w:autoRedefine/>
    <w:qFormat/>
    <w:uiPriority w:val="0"/>
    <w:pPr>
      <w:widowControl w:val="0"/>
      <w:spacing w:line="360" w:lineRule="auto"/>
      <w:ind w:firstLine="560" w:firstLineChars="200"/>
    </w:pPr>
    <w:rPr>
      <w:rFonts w:eastAsia="仿宋_GB2312" w:cs="宋体"/>
      <w:color w:val="000000"/>
      <w:kern w:val="2"/>
      <w:sz w:val="28"/>
      <w:lang w:val="en-US"/>
    </w:rPr>
  </w:style>
  <w:style w:type="character" w:customStyle="1" w:styleId="67">
    <w:name w:val="正文缩进 Char"/>
    <w:autoRedefine/>
    <w:qFormat/>
    <w:uiPriority w:val="0"/>
    <w:rPr>
      <w:rFonts w:eastAsia="华文细黑"/>
      <w:kern w:val="2"/>
      <w:sz w:val="24"/>
      <w:lang w:val="zh-CN" w:eastAsia="zh-CN"/>
    </w:rPr>
  </w:style>
  <w:style w:type="character" w:customStyle="1" w:styleId="68">
    <w:name w:val="fontstyle01"/>
    <w:basedOn w:val="32"/>
    <w:autoRedefine/>
    <w:qFormat/>
    <w:uiPriority w:val="0"/>
    <w:rPr>
      <w:rFonts w:hint="eastAsia" w:ascii="黑体" w:hAnsi="黑体" w:eastAsia="黑体"/>
      <w:color w:val="000000"/>
      <w:sz w:val="52"/>
      <w:szCs w:val="52"/>
    </w:rPr>
  </w:style>
  <w:style w:type="table" w:customStyle="1" w:styleId="69">
    <w:name w:val="List Table 2 Accent 2"/>
    <w:basedOn w:val="30"/>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70">
    <w:name w:val="三线表"/>
    <w:basedOn w:val="30"/>
    <w:autoRedefine/>
    <w:qFormat/>
    <w:uiPriority w:val="99"/>
    <w:pPr>
      <w:jc w:val="center"/>
    </w:pPr>
    <w:rPr>
      <w:rFonts w:eastAsia="微软雅黑"/>
    </w:rPr>
    <w:tcPr>
      <w:shd w:val="clear" w:color="auto" w:fill="FFFFFF" w:themeFill="background1"/>
    </w:tcPr>
    <w:tblStylePr w:type="firstRow">
      <w:pPr>
        <w:jc w:val="center"/>
      </w:pPr>
      <w:rPr>
        <w:rFonts w:eastAsia="微软雅黑"/>
        <w:b/>
        <w:color w:val="FFFFFF" w:themeColor="background1"/>
        <w:sz w:val="21"/>
        <w14:textFill>
          <w14:solidFill>
            <w14:schemeClr w14:val="bg1"/>
          </w14:solidFill>
        </w14:textFill>
      </w:rPr>
      <w:tcPr>
        <w:shd w:val="clear" w:color="auto" w:fill="1F3864" w:themeFill="accent5" w:themeFillShade="80"/>
      </w:tcPr>
    </w:tblStylePr>
    <w:tblStylePr w:type="lastRow">
      <w:tcPr>
        <w:tcBorders>
          <w:top w:val="single" w:color="auto" w:sz="4" w:space="0"/>
          <w:bottom w:val="single" w:color="auto" w:sz="4" w:space="0"/>
        </w:tcBorders>
      </w:tcPr>
    </w:tblStylePr>
  </w:style>
  <w:style w:type="table" w:customStyle="1" w:styleId="71">
    <w:name w:val="Grid Table 6 Colorful Accent 3"/>
    <w:basedOn w:val="30"/>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2">
    <w:name w:val="List Table 1 Light Accent 3"/>
    <w:basedOn w:val="30"/>
    <w:autoRedefine/>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3">
    <w:name w:val="List Table 2 Accent 3"/>
    <w:basedOn w:val="30"/>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4">
    <w:name w:val="List Table 4 Accent 3"/>
    <w:basedOn w:val="30"/>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5">
    <w:name w:val="List Table 4 Accent 4"/>
    <w:basedOn w:val="30"/>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76">
    <w:name w:val="List Table 6 Colorful Accent 3"/>
    <w:basedOn w:val="30"/>
    <w:autoRedefine/>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7">
    <w:name w:val="List Table 3 Accent 3"/>
    <w:basedOn w:val="30"/>
    <w:autoRedefine/>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78">
    <w:name w:val="Plain Table 2"/>
    <w:basedOn w:val="30"/>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9">
    <w:name w:val="Table Normal1"/>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styleId="80">
    <w:name w:val="No Spacing"/>
    <w:autoRedefine/>
    <w:qFormat/>
    <w:uiPriority w:val="1"/>
    <w:pPr>
      <w:adjustRightInd w:val="0"/>
      <w:snapToGrid w:val="0"/>
    </w:pPr>
    <w:rPr>
      <w:rFonts w:ascii="Tahoma" w:hAnsi="Tahoma" w:eastAsia="微软雅黑" w:cstheme="minorBidi"/>
      <w:sz w:val="22"/>
      <w:szCs w:val="22"/>
      <w:lang w:val="en-US" w:eastAsia="zh-CN" w:bidi="ar-SA"/>
    </w:rPr>
  </w:style>
  <w:style w:type="table" w:customStyle="1" w:styleId="81">
    <w:name w:val="橙色表格1"/>
    <w:basedOn w:val="30"/>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 w:type="table" w:customStyle="1" w:styleId="82">
    <w:name w:val="橙色表格2"/>
    <w:basedOn w:val="30"/>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uo_y\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EFA51-AA0E-4C59-A426-992D93699BF0}">
  <ds:schemaRefs/>
</ds:datastoreItem>
</file>

<file path=docProps/app.xml><?xml version="1.0" encoding="utf-8"?>
<Properties xmlns="http://schemas.openxmlformats.org/officeDocument/2006/extended-properties" xmlns:vt="http://schemas.openxmlformats.org/officeDocument/2006/docPropsVTypes">
  <Template>tmp2.dotx</Template>
  <Company>fzghy</Company>
  <Pages>19</Pages>
  <Words>1430</Words>
  <Characters>8156</Characters>
  <Lines>67</Lines>
  <Paragraphs>19</Paragraphs>
  <TotalTime>2</TotalTime>
  <ScaleCrop>false</ScaleCrop>
  <LinksUpToDate>false</LinksUpToDate>
  <CharactersWithSpaces>9567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2024-01-10T03:31:00Z</dcterms:created>
  <dc:creator>卓遥</dc:creator>
  <cp:lastModifiedBy>鹿弋</cp:lastModifiedBy>
  <cp:lastPrinted>1900-12-31T16:00:00Z</cp:lastPrinted>
  <dcterms:modified xsi:type="dcterms:W3CDTF">2024-03-01T02:52:11Z</dcterms:modified>
  <dc:title>光伏发电分析报告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B463AF5AFA284855804056E057508E3E_13</vt:lpwstr>
  </property>
</Properties>
</file>