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3" w:name="_GoBack"/>
      <w:bookmarkEnd w:id="53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西安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2024年1月9日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6" w:name="二维码"/>
      <w:bookmarkEnd w:id="6"/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7" w:name="目录"/>
      <w:bookmarkEnd w:id="7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"_Toc155709744"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住区概况</w:t>
      </w:r>
      <w:r>
        <w:tab/>
      </w:r>
      <w:r>
        <w:fldChar w:fldCharType="begin"/>
      </w:r>
      <w:r>
        <w:instrText xml:space="preserve"> PAGEREF _Toc155709744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"_Toc155709745"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设计依据</w:t>
      </w:r>
      <w:r>
        <w:tab/>
      </w:r>
      <w:r>
        <w:fldChar w:fldCharType="begin"/>
      </w:r>
      <w:r>
        <w:instrText xml:space="preserve"> PAGEREF _Toc155709745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"_Toc155709746"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计算规定</w:t>
      </w:r>
      <w:r>
        <w:tab/>
      </w:r>
      <w:r>
        <w:fldChar w:fldCharType="begin"/>
      </w:r>
      <w:r>
        <w:instrText xml:space="preserve"> PAGEREF _Toc155709746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"_Toc155709747"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强制条文</w:t>
      </w:r>
      <w:r>
        <w:tab/>
      </w:r>
      <w:r>
        <w:fldChar w:fldCharType="begin"/>
      </w:r>
      <w:r>
        <w:instrText xml:space="preserve"> PAGEREF _Toc155709747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"_Toc155709748"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规定性设计</w:t>
      </w:r>
      <w:r>
        <w:tab/>
      </w:r>
      <w:r>
        <w:fldChar w:fldCharType="begin"/>
      </w:r>
      <w:r>
        <w:instrText xml:space="preserve"> PAGEREF _Toc155709748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"_Toc155709749"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计算参数</w:t>
      </w:r>
      <w:r>
        <w:tab/>
      </w:r>
      <w:r>
        <w:fldChar w:fldCharType="begin"/>
      </w:r>
      <w:r>
        <w:instrText xml:space="preserve"> PAGEREF _Toc155709749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"_Toc155709750"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典型气象日气象参数</w:t>
      </w:r>
      <w:r>
        <w:tab/>
      </w:r>
      <w:r>
        <w:fldChar w:fldCharType="begin"/>
      </w:r>
      <w:r>
        <w:instrText xml:space="preserve"> PAGEREF _Toc155709750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"_Toc155709751"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渗透面夏季逐时蒸发量</w:t>
      </w:r>
      <w:r>
        <w:tab/>
      </w:r>
      <w:r>
        <w:fldChar w:fldCharType="begin"/>
      </w:r>
      <w:r>
        <w:instrText xml:space="preserve"> PAGEREF _Toc155709751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"_Toc155709752"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住区指标概览</w:t>
      </w:r>
      <w:r>
        <w:tab/>
      </w:r>
      <w:r>
        <w:fldChar w:fldCharType="begin"/>
      </w:r>
      <w:r>
        <w:instrText xml:space="preserve"> PAGEREF _Toc155709752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"_Toc155709753"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强制性设计指标</w:t>
      </w:r>
      <w:r>
        <w:tab/>
      </w:r>
      <w:r>
        <w:fldChar w:fldCharType="begin"/>
      </w:r>
      <w:r>
        <w:instrText xml:space="preserve"> PAGEREF _Toc155709753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"_Toc155709754"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平均迎风面积比</w:t>
      </w:r>
      <w:r>
        <w:tab/>
      </w:r>
      <w:r>
        <w:fldChar w:fldCharType="begin"/>
      </w:r>
      <w:r>
        <w:instrText xml:space="preserve"> PAGEREF _Toc155709754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"_Toc155709755"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活动场地遮阳覆盖率</w:t>
      </w:r>
      <w:r>
        <w:tab/>
      </w:r>
      <w:r>
        <w:fldChar w:fldCharType="begin"/>
      </w:r>
      <w:r>
        <w:instrText xml:space="preserve"> PAGEREF _Toc155709755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"_Toc155709756"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规定性设计指标</w:t>
      </w:r>
      <w:r>
        <w:tab/>
      </w:r>
      <w:r>
        <w:fldChar w:fldCharType="begin"/>
      </w:r>
      <w:r>
        <w:instrText xml:space="preserve"> PAGEREF _Toc155709756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"_Toc155709757"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底层通风架空率</w:t>
      </w:r>
      <w:r>
        <w:tab/>
      </w:r>
      <w:r>
        <w:fldChar w:fldCharType="begin"/>
      </w:r>
      <w:r>
        <w:instrText xml:space="preserve"> PAGEREF _Toc155709757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"_Toc155709758"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绿化遮阳体叶面积指数</w:t>
      </w:r>
      <w:r>
        <w:tab/>
      </w:r>
      <w:r>
        <w:fldChar w:fldCharType="begin"/>
      </w:r>
      <w:r>
        <w:instrText xml:space="preserve"> PAGEREF _Toc155709758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"_Toc155709759" </w:instrText>
      </w:r>
      <w:r>
        <w:fldChar w:fldCharType="separate"/>
      </w:r>
      <w:r>
        <w:rPr>
          <w:rStyle w:val="25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渗透蒸发指标</w:t>
      </w:r>
      <w:r>
        <w:tab/>
      </w:r>
      <w:r>
        <w:fldChar w:fldCharType="begin"/>
      </w:r>
      <w:r>
        <w:instrText xml:space="preserve"> PAGEREF _Toc155709759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"_Toc155709760" </w:instrText>
      </w:r>
      <w:r>
        <w:fldChar w:fldCharType="separate"/>
      </w:r>
      <w:r>
        <w:rPr>
          <w:rStyle w:val="25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</w:rPr>
        <w:t>屋面绿化率</w:t>
      </w:r>
      <w:r>
        <w:tab/>
      </w:r>
      <w:r>
        <w:fldChar w:fldCharType="begin"/>
      </w:r>
      <w:r>
        <w:instrText xml:space="preserve"> PAGEREF _Toc155709760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"_Toc155709761"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</w:rPr>
        <w:t>结论</w:t>
      </w:r>
      <w:r>
        <w:tab/>
      </w:r>
      <w:r>
        <w:fldChar w:fldCharType="begin"/>
      </w:r>
      <w:r>
        <w:instrText xml:space="preserve"> PAGEREF _Toc155709761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8" w:name="_Toc155709744"/>
      <w:r>
        <w:rPr>
          <w:rFonts w:hint="eastAsia"/>
        </w:rPr>
        <w:t>住区概况</w:t>
      </w:r>
      <w:bookmarkEnd w:id="8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9" w:name="工程名称1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0" w:name="工程地点"/>
            <w:r>
              <w:t>西安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1" w:name="纬度"/>
            <w:r>
              <w:t>34.28</w:t>
            </w:r>
            <w:bookmarkEnd w:id="11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2" w:name="经度"/>
            <w:r>
              <w:t>108.95</w:t>
            </w:r>
            <w:bookmarkEnd w:id="12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气候区"/>
            <w:r>
              <w:t>IIA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主导风向"/>
            <w:r>
              <w:t>东北</w:t>
            </w:r>
            <w:bookmarkEnd w:id="14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5" w:name="总图鸟瞰图"/>
      <w:bookmarkEnd w:id="15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6" w:name="OLE_LINK3"/>
      <w:bookmarkStart w:id="17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6"/>
      <w:bookmarkEnd w:id="17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平面图"/>
      <w:bookmarkEnd w:id="18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19" w:name="_Toc155709745"/>
      <w:bookmarkStart w:id="20" w:name="TitleFormat"/>
      <w:r>
        <w:rPr>
          <w:rFonts w:hint="eastAsia"/>
        </w:rPr>
        <w:t>设计依据</w:t>
      </w:r>
      <w:bookmarkEnd w:id="19"/>
    </w:p>
    <w:p>
      <w:pPr>
        <w:widowControl w:val="0"/>
        <w:jc w:val="both"/>
        <w:rPr>
          <w:kern w:val="2"/>
          <w:szCs w:val="24"/>
          <w:lang w:val="en-US"/>
        </w:rPr>
      </w:pPr>
      <w:bookmarkStart w:id="21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0"/>
      <w:bookmarkEnd w:id="21"/>
    </w:p>
    <w:p>
      <w:pPr>
        <w:pStyle w:val="2"/>
      </w:pPr>
      <w:bookmarkStart w:id="22" w:name="_Toc155709746"/>
      <w:r>
        <w:rPr>
          <w:rFonts w:hint="eastAsia"/>
        </w:rPr>
        <w:t>计算规定</w:t>
      </w:r>
      <w:bookmarkEnd w:id="22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3" w:name="_Toc155709747"/>
      <w:r>
        <w:rPr>
          <w:rFonts w:hint="eastAsia"/>
        </w:rPr>
        <w:t>强制条文</w:t>
      </w:r>
      <w:bookmarkEnd w:id="23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4" w:name="_Toc155709748"/>
      <w:r>
        <w:rPr>
          <w:rFonts w:hint="eastAsia"/>
        </w:rPr>
        <w:t>规定性设计</w:t>
      </w:r>
      <w:bookmarkEnd w:id="24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5" w:name="_Toc155709749"/>
      <w:r>
        <w:rPr>
          <w:rFonts w:hint="eastAsia"/>
        </w:rPr>
        <w:t>计算参数</w:t>
      </w:r>
      <w:bookmarkEnd w:id="25"/>
    </w:p>
    <w:p>
      <w:pPr>
        <w:pStyle w:val="4"/>
      </w:pPr>
      <w:bookmarkStart w:id="26" w:name="_Toc155709750"/>
      <w:r>
        <w:rPr>
          <w:rFonts w:hint="eastAsia"/>
        </w:rPr>
        <w:t>典型气象日气象参数</w:t>
      </w:r>
      <w:bookmarkEnd w:id="2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</w:pPr>
            <w:r>
              <w:t>东北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55.56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41.67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177.78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105.56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316.67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163.89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461.11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219.44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588.89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263.89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683.33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294.44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730.56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311.11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722.22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661.11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291.67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552.78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255.56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419.44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205.56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275.00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147.22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136.11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13.89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241.78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112.50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7" w:name="气象参数"/>
      <w:bookmarkEnd w:id="27"/>
    </w:p>
    <w:p>
      <w:pPr>
        <w:pStyle w:val="4"/>
      </w:pPr>
      <w:bookmarkStart w:id="28" w:name="_Toc155709751"/>
      <w:r>
        <w:rPr>
          <w:rFonts w:hint="eastAsia"/>
        </w:rPr>
        <w:t>渗透面夏季逐时蒸发量</w:t>
      </w:r>
      <w:bookmarkEnd w:id="2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蒸发量参数"/>
      <w:bookmarkEnd w:id="29"/>
    </w:p>
    <w:p>
      <w:pPr>
        <w:pStyle w:val="2"/>
      </w:pPr>
      <w:bookmarkStart w:id="30" w:name="_Toc155709752"/>
      <w:r>
        <w:rPr>
          <w:rFonts w:hint="eastAsia"/>
        </w:rPr>
        <w:t>住区指标概览</w:t>
      </w:r>
      <w:bookmarkEnd w:id="3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tcW w:w="4666" w:type="dxa"/>
            <w:vAlign w:val="center"/>
          </w:tcPr>
          <w:p>
            <w:r>
              <w:t>33503.98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tcW w:w="4666" w:type="dxa"/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tcW w:w="4666" w:type="dxa"/>
            <w:vAlign w:val="center"/>
          </w:tcPr>
          <w:p>
            <w:r>
              <w:t>25081.90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tcW w:w="4666" w:type="dxa"/>
            <w:vAlign w:val="center"/>
          </w:tcPr>
          <w:p>
            <w:r>
              <w:t>1664.48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tcW w:w="4666" w:type="dxa"/>
            <w:vAlign w:val="center"/>
          </w:tcPr>
          <w:p>
            <w:r>
              <w:t>3416.83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tcW w:w="4666" w:type="dxa"/>
            <w:vAlign w:val="center"/>
          </w:tcPr>
          <w:p>
            <w:r>
              <w:t>1664.48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>
            <w:r>
              <w:t>0.74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tcW w:w="4666" w:type="dxa"/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4666" w:type="dxa"/>
            <w:vAlign w:val="center"/>
          </w:tcPr>
          <w:p>
            <w:r>
              <w:t>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tcW w:w="4666" w:type="dxa"/>
            <w:vAlign w:val="center"/>
          </w:tcPr>
          <w:p>
            <w:r>
              <w:t>9.63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tcW w:w="4666" w:type="dxa"/>
            <w:vAlign w:val="center"/>
          </w:tcPr>
          <w:p>
            <w:r>
              <w:t>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tcW w:w="46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tcW w:w="4666" w:type="dxa"/>
            <w:vAlign w:val="center"/>
          </w:tcPr>
          <w:p>
            <w:r>
              <w:t>0.76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tcW w:w="4666" w:type="dxa"/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1" w:name="住区指标概览"/>
      <w:bookmarkEnd w:id="31"/>
    </w:p>
    <w:p>
      <w:pPr>
        <w:pStyle w:val="2"/>
      </w:pPr>
      <w:bookmarkStart w:id="32" w:name="_Toc155709753"/>
      <w:r>
        <w:rPr>
          <w:rFonts w:hint="eastAsia"/>
        </w:rPr>
        <w:t>强制性</w:t>
      </w:r>
      <w:r>
        <w:t>设计指标</w:t>
      </w:r>
      <w:bookmarkEnd w:id="32"/>
    </w:p>
    <w:p>
      <w:pPr>
        <w:pStyle w:val="4"/>
      </w:pPr>
      <w:bookmarkStart w:id="33" w:name="_Toc155709754"/>
      <w:r>
        <w:rPr>
          <w:rFonts w:hint="eastAsia"/>
        </w:rPr>
        <w:t>平均迎风面积比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DT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758.53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760.28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25.00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0.9977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363.54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528.49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110.00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0.6879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2#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255.23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302.21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61.00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0.8445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3#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295.39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332.58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56.00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0.8882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4#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278.10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379.46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72.00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0.7329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5#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225.52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256.78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58.00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0.8783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6#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174.69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182.27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134.00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0.9584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7#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174.69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182.27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46.00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0.9584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8#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44.11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56.81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68.00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0.7765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9#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399.70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598.29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77.00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0.6681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10#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292.02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318.75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127.00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0.9161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11#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372.81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478.65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113.00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0.7789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12#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831.46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952.87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58.00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0.8726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13#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472.32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486.54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15.00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0.9708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14#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372.81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478.65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113.00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0.7789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15#</w:t>
            </w:r>
          </w:p>
        </w:tc>
        <w:tc>
          <w:tcPr>
            <w:tcW w:w="1866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372.81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478.65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113.00 </w:t>
            </w:r>
          </w:p>
        </w:tc>
        <w:tc>
          <w:tcPr>
            <w:tcW w:w="1867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 xml:space="preserve">0.7789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7467" w:type="dxa"/>
            <w:gridSpan w:val="4"/>
            <w:vAlign w:val="center"/>
          </w:tcPr>
          <w:p>
            <w:r>
              <w:rPr>
                <w:rFonts w:hint="eastAsia"/>
              </w:rPr>
              <w:t>0</w:t>
            </w:r>
            <w:r>
              <w:t>.843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7" w:type="dxa"/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7" w:type="dxa"/>
            <w:gridSpan w:val="4"/>
            <w:vAlign w:val="center"/>
          </w:tcPr>
          <w:p>
            <w:r>
              <w:rPr>
                <w:b/>
              </w:rPr>
              <w:t>平均迎风面积比≤0.85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7" w:type="dxa"/>
            <w:gridSpan w:val="4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平均迎风面积比"/>
      <w:bookmarkEnd w:id="34"/>
    </w:p>
    <w:p>
      <w:pPr>
        <w:pStyle w:val="4"/>
      </w:pPr>
      <w:bookmarkStart w:id="35" w:name="_Toc155709755"/>
      <w:r>
        <w:rPr>
          <w:rFonts w:hint="eastAsia"/>
        </w:rPr>
        <w:t>活动场地遮阳覆盖率</w:t>
      </w:r>
      <w:bookmarkEnd w:id="3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1866" w:type="dxa"/>
            <w:vAlign w:val="center"/>
          </w:tcPr>
          <w:p>
            <w:r>
              <w:t>461.8</w:t>
            </w:r>
          </w:p>
        </w:tc>
        <w:tc>
          <w:tcPr>
            <w:tcW w:w="1866" w:type="dxa"/>
            <w:vAlign w:val="center"/>
          </w:tcPr>
          <w:p>
            <w:r>
              <w:t>1664.5</w:t>
            </w:r>
          </w:p>
        </w:tc>
        <w:tc>
          <w:tcPr>
            <w:tcW w:w="1866" w:type="dxa"/>
            <w:vAlign w:val="center"/>
          </w:tcPr>
          <w:p>
            <w:r>
              <w:t>28</w:t>
            </w:r>
          </w:p>
        </w:tc>
        <w:tc>
          <w:tcPr>
            <w:tcW w:w="1866" w:type="dxa"/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6" w:name="活动场地遮阳覆盖率"/>
      <w:bookmarkEnd w:id="36"/>
    </w:p>
    <w:p>
      <w:pPr>
        <w:pStyle w:val="2"/>
      </w:pPr>
      <w:bookmarkStart w:id="37" w:name="_Toc155709756"/>
      <w:r>
        <w:rPr>
          <w:rFonts w:hint="eastAsia"/>
        </w:rPr>
        <w:t>规定性设计指标</w:t>
      </w:r>
      <w:bookmarkEnd w:id="37"/>
    </w:p>
    <w:p>
      <w:pPr>
        <w:pStyle w:val="4"/>
      </w:pPr>
      <w:bookmarkStart w:id="38" w:name="_Toc155709757"/>
      <w:r>
        <w:rPr>
          <w:rFonts w:hint="eastAsia"/>
        </w:rPr>
        <w:t>底层通风架空率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DT</w:t>
            </w:r>
          </w:p>
        </w:tc>
        <w:tc>
          <w:tcPr>
            <w:tcW w:w="1866" w:type="dxa"/>
            <w:vAlign w:val="center"/>
          </w:tcPr>
          <w:p>
            <w:r>
              <w:t>0.3</w:t>
            </w:r>
          </w:p>
        </w:tc>
        <w:tc>
          <w:tcPr>
            <w:tcW w:w="1866" w:type="dxa"/>
            <w:vAlign w:val="center"/>
          </w:tcPr>
          <w:p>
            <w:r>
              <w:t>1373.6</w:t>
            </w:r>
          </w:p>
        </w:tc>
        <w:tc>
          <w:tcPr>
            <w:tcW w:w="1866" w:type="dxa"/>
            <w:vAlign w:val="center"/>
          </w:tcPr>
          <w:p>
            <w:r>
              <w:t>70.7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470.5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2#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240.5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3#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301.9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4#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288.1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5#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176.6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6#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205.0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7#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205.0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8#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86.3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9#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461.5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10#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290.0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11#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480.9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12#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2404.5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13#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475.8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14#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480.9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15#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480.9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底层通风架空率"/>
      <w:bookmarkEnd w:id="39"/>
    </w:p>
    <w:p>
      <w:pPr>
        <w:pStyle w:val="4"/>
      </w:pPr>
      <w:bookmarkStart w:id="40" w:name="_Toc155709758"/>
      <w:r>
        <w:rPr>
          <w:rFonts w:hint="eastAsia"/>
        </w:rPr>
        <w:t>绿化遮阳体叶面积指数</w:t>
      </w:r>
      <w:bookmarkEnd w:id="4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tcW w:w="3110" w:type="dxa"/>
            <w:vAlign w:val="center"/>
          </w:tcPr>
          <w:p>
            <w:r>
              <w:t>LAI &gt;= 3</w:t>
            </w:r>
          </w:p>
        </w:tc>
        <w:tc>
          <w:tcPr>
            <w:tcW w:w="3110" w:type="dxa"/>
            <w:vAlign w:val="center"/>
          </w:tcPr>
          <w:p>
            <w:r>
              <w:t>4819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 &lt;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tcW w:w="3110" w:type="dxa"/>
            <w:vAlign w:val="center"/>
          </w:tcPr>
          <w:p>
            <w:r>
              <w:t>LAI &gt;=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 &lt;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绿化遮阳体叶面积指数"/>
      <w:bookmarkEnd w:id="41"/>
    </w:p>
    <w:p>
      <w:pPr>
        <w:pStyle w:val="4"/>
      </w:pPr>
      <w:bookmarkStart w:id="42" w:name="_Toc155709759"/>
      <w:r>
        <w:rPr>
          <w:rFonts w:hint="eastAsia"/>
        </w:rPr>
        <w:t>渗透蒸发指标</w:t>
      </w:r>
      <w:bookmarkEnd w:id="4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1866" w:type="dxa"/>
            <w:vAlign w:val="center"/>
          </w:tcPr>
          <w:p>
            <w:r>
              <w:t>1664</w:t>
            </w:r>
          </w:p>
        </w:tc>
        <w:tc>
          <w:tcPr>
            <w:tcW w:w="1866" w:type="dxa"/>
            <w:vAlign w:val="center"/>
          </w:tcPr>
          <w:p>
            <w:r>
              <w:t>1.000</w:t>
            </w:r>
          </w:p>
        </w:tc>
        <w:tc>
          <w:tcPr>
            <w:tcW w:w="1866" w:type="dxa"/>
            <w:vAlign w:val="center"/>
          </w:tcPr>
          <w:p>
            <w:r>
              <w:t>4.97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1664</w:t>
            </w:r>
          </w:p>
        </w:tc>
        <w:tc>
          <w:tcPr>
            <w:tcW w:w="1866" w:type="dxa"/>
            <w:vAlign w:val="center"/>
          </w:tcPr>
          <w:p>
            <w:r>
              <w:t>1.0</w:t>
            </w:r>
          </w:p>
        </w:tc>
        <w:tc>
          <w:tcPr>
            <w:tcW w:w="1866" w:type="dxa"/>
            <w:vAlign w:val="center"/>
          </w:tcPr>
          <w:p>
            <w:r>
              <w:t>4.97</w:t>
            </w:r>
          </w:p>
        </w:tc>
        <w:tc>
          <w:tcPr>
            <w:tcW w:w="1866" w:type="dxa"/>
            <w:vAlign w:val="center"/>
          </w:tcPr>
          <w:p>
            <w:r>
              <w:t>1.69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3" w:name="渗透蒸发指标"/>
      <w:bookmarkEnd w:id="4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tcW w:w="3110" w:type="dxa"/>
            <w:vAlign w:val="center"/>
          </w:tcPr>
          <w:p>
            <w:r>
              <w:t>4.97</w:t>
            </w:r>
          </w:p>
        </w:tc>
        <w:tc>
          <w:tcPr>
            <w:tcW w:w="3110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tcW w:w="3110" w:type="dxa"/>
            <w:vAlign w:val="center"/>
          </w:tcPr>
          <w:p>
            <w:r>
              <w:t>1.69</w:t>
            </w:r>
          </w:p>
        </w:tc>
        <w:tc>
          <w:tcPr>
            <w:tcW w:w="3110" w:type="dxa"/>
            <w:vAlign w:val="center"/>
          </w:tcPr>
          <w:p>
            <w: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4" w:name="_Toc155709760"/>
      <w:r>
        <w:rPr>
          <w:rFonts w:hint="eastAsia"/>
        </w:rPr>
        <w:t>屋面绿化率</w:t>
      </w:r>
      <w:bookmarkEnd w:id="44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DT</w:t>
            </w:r>
          </w:p>
        </w:tc>
        <w:tc>
          <w:tcPr>
            <w:tcW w:w="1866" w:type="dxa"/>
            <w:vAlign w:val="center"/>
          </w:tcPr>
          <w:p>
            <w:r>
              <w:t>1373.6</w:t>
            </w:r>
          </w:p>
        </w:tc>
        <w:tc>
          <w:tcPr>
            <w:tcW w:w="1866" w:type="dxa"/>
            <w:vAlign w:val="center"/>
          </w:tcPr>
          <w:p>
            <w:r>
              <w:t>436.5</w:t>
            </w:r>
          </w:p>
        </w:tc>
        <w:tc>
          <w:tcPr>
            <w:tcW w:w="1866" w:type="dxa"/>
            <w:vAlign w:val="center"/>
          </w:tcPr>
          <w:p>
            <w:r>
              <w:t>1373.6</w:t>
            </w:r>
          </w:p>
        </w:tc>
        <w:tc>
          <w:tcPr>
            <w:tcW w:w="1866" w:type="dxa"/>
            <w:vAlign w:val="center"/>
          </w:tcPr>
          <w:p>
            <w:r>
              <w:rPr>
                <w:color w:val="FF0000"/>
              </w:rPr>
              <w:t>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1#</w:t>
            </w:r>
          </w:p>
        </w:tc>
        <w:tc>
          <w:tcPr>
            <w:tcW w:w="1866" w:type="dxa"/>
            <w:vAlign w:val="center"/>
          </w:tcPr>
          <w:p>
            <w:r>
              <w:t>470.5</w:t>
            </w:r>
          </w:p>
        </w:tc>
        <w:tc>
          <w:tcPr>
            <w:tcW w:w="1866" w:type="dxa"/>
            <w:vAlign w:val="center"/>
          </w:tcPr>
          <w:p>
            <w:r>
              <w:t>293.6</w:t>
            </w:r>
          </w:p>
        </w:tc>
        <w:tc>
          <w:tcPr>
            <w:tcW w:w="1866" w:type="dxa"/>
            <w:vAlign w:val="center"/>
          </w:tcPr>
          <w:p>
            <w:r>
              <w:t>470.5</w:t>
            </w:r>
          </w:p>
        </w:tc>
        <w:tc>
          <w:tcPr>
            <w:tcW w:w="1866" w:type="dxa"/>
            <w:vAlign w:val="center"/>
          </w:tcPr>
          <w:p>
            <w:r>
              <w:t>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2#</w:t>
            </w:r>
          </w:p>
        </w:tc>
        <w:tc>
          <w:tcPr>
            <w:tcW w:w="1866" w:type="dxa"/>
            <w:vAlign w:val="center"/>
          </w:tcPr>
          <w:p>
            <w:r>
              <w:t>240.5</w:t>
            </w:r>
          </w:p>
        </w:tc>
        <w:tc>
          <w:tcPr>
            <w:tcW w:w="1866" w:type="dxa"/>
            <w:vAlign w:val="center"/>
          </w:tcPr>
          <w:p>
            <w:r>
              <w:t>157.7</w:t>
            </w:r>
          </w:p>
        </w:tc>
        <w:tc>
          <w:tcPr>
            <w:tcW w:w="1866" w:type="dxa"/>
            <w:vAlign w:val="center"/>
          </w:tcPr>
          <w:p>
            <w:r>
              <w:t>240.5</w:t>
            </w:r>
          </w:p>
        </w:tc>
        <w:tc>
          <w:tcPr>
            <w:tcW w:w="1866" w:type="dxa"/>
            <w:vAlign w:val="center"/>
          </w:tcPr>
          <w:p>
            <w:r>
              <w:t>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3#</w:t>
            </w:r>
          </w:p>
        </w:tc>
        <w:tc>
          <w:tcPr>
            <w:tcW w:w="1866" w:type="dxa"/>
            <w:vAlign w:val="center"/>
          </w:tcPr>
          <w:p>
            <w:r>
              <w:t>301.9</w:t>
            </w:r>
          </w:p>
        </w:tc>
        <w:tc>
          <w:tcPr>
            <w:tcW w:w="1866" w:type="dxa"/>
            <w:vAlign w:val="center"/>
          </w:tcPr>
          <w:p>
            <w:r>
              <w:t>141.2</w:t>
            </w:r>
          </w:p>
        </w:tc>
        <w:tc>
          <w:tcPr>
            <w:tcW w:w="1866" w:type="dxa"/>
            <w:vAlign w:val="center"/>
          </w:tcPr>
          <w:p>
            <w:r>
              <w:t>301.9</w:t>
            </w:r>
          </w:p>
        </w:tc>
        <w:tc>
          <w:tcPr>
            <w:tcW w:w="1866" w:type="dxa"/>
            <w:vAlign w:val="center"/>
          </w:tcPr>
          <w:p>
            <w:r>
              <w:rPr>
                <w:color w:val="FF0000"/>
              </w:rPr>
              <w:t>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4#</w:t>
            </w:r>
          </w:p>
        </w:tc>
        <w:tc>
          <w:tcPr>
            <w:tcW w:w="1866" w:type="dxa"/>
            <w:vAlign w:val="center"/>
          </w:tcPr>
          <w:p>
            <w:r>
              <w:t>288.1</w:t>
            </w:r>
          </w:p>
        </w:tc>
        <w:tc>
          <w:tcPr>
            <w:tcW w:w="1866" w:type="dxa"/>
            <w:vAlign w:val="center"/>
          </w:tcPr>
          <w:p>
            <w:r>
              <w:t>165.6</w:t>
            </w:r>
          </w:p>
        </w:tc>
        <w:tc>
          <w:tcPr>
            <w:tcW w:w="1866" w:type="dxa"/>
            <w:vAlign w:val="center"/>
          </w:tcPr>
          <w:p>
            <w:r>
              <w:t>288.1</w:t>
            </w:r>
          </w:p>
        </w:tc>
        <w:tc>
          <w:tcPr>
            <w:tcW w:w="1866" w:type="dxa"/>
            <w:vAlign w:val="center"/>
          </w:tcPr>
          <w:p>
            <w:r>
              <w:t>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5#</w:t>
            </w:r>
          </w:p>
        </w:tc>
        <w:tc>
          <w:tcPr>
            <w:tcW w:w="1866" w:type="dxa"/>
            <w:vAlign w:val="center"/>
          </w:tcPr>
          <w:p>
            <w:r>
              <w:t>176.6</w:t>
            </w:r>
          </w:p>
        </w:tc>
        <w:tc>
          <w:tcPr>
            <w:tcW w:w="1866" w:type="dxa"/>
            <w:vAlign w:val="center"/>
          </w:tcPr>
          <w:p>
            <w:r>
              <w:t>122.4</w:t>
            </w:r>
          </w:p>
        </w:tc>
        <w:tc>
          <w:tcPr>
            <w:tcW w:w="1866" w:type="dxa"/>
            <w:vAlign w:val="center"/>
          </w:tcPr>
          <w:p>
            <w:r>
              <w:t>176.6</w:t>
            </w:r>
          </w:p>
        </w:tc>
        <w:tc>
          <w:tcPr>
            <w:tcW w:w="1866" w:type="dxa"/>
            <w:vAlign w:val="center"/>
          </w:tcPr>
          <w:p>
            <w:r>
              <w:t>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6#</w:t>
            </w:r>
          </w:p>
        </w:tc>
        <w:tc>
          <w:tcPr>
            <w:tcW w:w="1866" w:type="dxa"/>
            <w:vAlign w:val="center"/>
          </w:tcPr>
          <w:p>
            <w:r>
              <w:t>205.0</w:t>
            </w:r>
          </w:p>
        </w:tc>
        <w:tc>
          <w:tcPr>
            <w:tcW w:w="1866" w:type="dxa"/>
            <w:vAlign w:val="center"/>
          </w:tcPr>
          <w:p>
            <w:r>
              <w:t>138.5</w:t>
            </w:r>
          </w:p>
        </w:tc>
        <w:tc>
          <w:tcPr>
            <w:tcW w:w="1866" w:type="dxa"/>
            <w:vAlign w:val="center"/>
          </w:tcPr>
          <w:p>
            <w:r>
              <w:t>205.0</w:t>
            </w:r>
          </w:p>
        </w:tc>
        <w:tc>
          <w:tcPr>
            <w:tcW w:w="1866" w:type="dxa"/>
            <w:vAlign w:val="center"/>
          </w:tcPr>
          <w:p>
            <w:r>
              <w:t>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7#</w:t>
            </w:r>
          </w:p>
        </w:tc>
        <w:tc>
          <w:tcPr>
            <w:tcW w:w="1866" w:type="dxa"/>
            <w:vAlign w:val="center"/>
          </w:tcPr>
          <w:p>
            <w:r>
              <w:t>205.0</w:t>
            </w:r>
          </w:p>
        </w:tc>
        <w:tc>
          <w:tcPr>
            <w:tcW w:w="1866" w:type="dxa"/>
            <w:vAlign w:val="center"/>
          </w:tcPr>
          <w:p>
            <w:r>
              <w:t>123.0</w:t>
            </w:r>
          </w:p>
        </w:tc>
        <w:tc>
          <w:tcPr>
            <w:tcW w:w="1866" w:type="dxa"/>
            <w:vAlign w:val="center"/>
          </w:tcPr>
          <w:p>
            <w:r>
              <w:t>205.0</w:t>
            </w:r>
          </w:p>
        </w:tc>
        <w:tc>
          <w:tcPr>
            <w:tcW w:w="1866" w:type="dxa"/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8#</w:t>
            </w:r>
          </w:p>
        </w:tc>
        <w:tc>
          <w:tcPr>
            <w:tcW w:w="1866" w:type="dxa"/>
            <w:vAlign w:val="center"/>
          </w:tcPr>
          <w:p>
            <w:r>
              <w:t>86.3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86.3</w:t>
            </w:r>
          </w:p>
        </w:tc>
        <w:tc>
          <w:tcPr>
            <w:tcW w:w="1866" w:type="dxa"/>
            <w:vAlign w:val="center"/>
          </w:tcPr>
          <w:p>
            <w:r>
              <w:rPr>
                <w:color w:val="FF000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9#</w:t>
            </w:r>
          </w:p>
        </w:tc>
        <w:tc>
          <w:tcPr>
            <w:tcW w:w="1866" w:type="dxa"/>
            <w:vAlign w:val="center"/>
          </w:tcPr>
          <w:p>
            <w:r>
              <w:t>461.5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461.5</w:t>
            </w:r>
          </w:p>
        </w:tc>
        <w:tc>
          <w:tcPr>
            <w:tcW w:w="1866" w:type="dxa"/>
            <w:vAlign w:val="center"/>
          </w:tcPr>
          <w:p>
            <w:r>
              <w:rPr>
                <w:color w:val="FF000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10#</w:t>
            </w:r>
          </w:p>
        </w:tc>
        <w:tc>
          <w:tcPr>
            <w:tcW w:w="1866" w:type="dxa"/>
            <w:vAlign w:val="center"/>
          </w:tcPr>
          <w:p>
            <w:r>
              <w:t>290.0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290.0</w:t>
            </w:r>
          </w:p>
        </w:tc>
        <w:tc>
          <w:tcPr>
            <w:tcW w:w="1866" w:type="dxa"/>
            <w:vAlign w:val="center"/>
          </w:tcPr>
          <w:p>
            <w:r>
              <w:rPr>
                <w:color w:val="FF000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11#</w:t>
            </w:r>
          </w:p>
        </w:tc>
        <w:tc>
          <w:tcPr>
            <w:tcW w:w="1866" w:type="dxa"/>
            <w:vAlign w:val="center"/>
          </w:tcPr>
          <w:p>
            <w:r>
              <w:t>480.9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480.9</w:t>
            </w:r>
          </w:p>
        </w:tc>
        <w:tc>
          <w:tcPr>
            <w:tcW w:w="1866" w:type="dxa"/>
            <w:vAlign w:val="center"/>
          </w:tcPr>
          <w:p>
            <w:r>
              <w:rPr>
                <w:color w:val="FF000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12#</w:t>
            </w:r>
          </w:p>
        </w:tc>
        <w:tc>
          <w:tcPr>
            <w:tcW w:w="1866" w:type="dxa"/>
            <w:vAlign w:val="center"/>
          </w:tcPr>
          <w:p>
            <w:r>
              <w:t>2404.5</w:t>
            </w:r>
          </w:p>
        </w:tc>
        <w:tc>
          <w:tcPr>
            <w:tcW w:w="1866" w:type="dxa"/>
            <w:vAlign w:val="center"/>
          </w:tcPr>
          <w:p>
            <w:r>
              <w:t>1983.7</w:t>
            </w:r>
          </w:p>
        </w:tc>
        <w:tc>
          <w:tcPr>
            <w:tcW w:w="1866" w:type="dxa"/>
            <w:vAlign w:val="center"/>
          </w:tcPr>
          <w:p>
            <w:r>
              <w:t>2404.5</w:t>
            </w:r>
          </w:p>
        </w:tc>
        <w:tc>
          <w:tcPr>
            <w:tcW w:w="1866" w:type="dxa"/>
            <w:vAlign w:val="center"/>
          </w:tcPr>
          <w:p>
            <w:r>
              <w:t>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13#</w:t>
            </w:r>
          </w:p>
        </w:tc>
        <w:tc>
          <w:tcPr>
            <w:tcW w:w="1866" w:type="dxa"/>
            <w:vAlign w:val="center"/>
          </w:tcPr>
          <w:p>
            <w:r>
              <w:t>475.8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475.8</w:t>
            </w:r>
          </w:p>
        </w:tc>
        <w:tc>
          <w:tcPr>
            <w:tcW w:w="1866" w:type="dxa"/>
            <w:vAlign w:val="center"/>
          </w:tcPr>
          <w:p>
            <w:r>
              <w:rPr>
                <w:color w:val="FF000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14#</w:t>
            </w:r>
          </w:p>
        </w:tc>
        <w:tc>
          <w:tcPr>
            <w:tcW w:w="1866" w:type="dxa"/>
            <w:vAlign w:val="center"/>
          </w:tcPr>
          <w:p>
            <w:r>
              <w:t>480.9</w:t>
            </w:r>
          </w:p>
        </w:tc>
        <w:tc>
          <w:tcPr>
            <w:tcW w:w="1866" w:type="dxa"/>
            <w:vAlign w:val="center"/>
          </w:tcPr>
          <w:p>
            <w:r>
              <w:t>383.4</w:t>
            </w:r>
          </w:p>
        </w:tc>
        <w:tc>
          <w:tcPr>
            <w:tcW w:w="1866" w:type="dxa"/>
            <w:vAlign w:val="center"/>
          </w:tcPr>
          <w:p>
            <w:r>
              <w:t>480.9</w:t>
            </w:r>
          </w:p>
        </w:tc>
        <w:tc>
          <w:tcPr>
            <w:tcW w:w="1866" w:type="dxa"/>
            <w:vAlign w:val="center"/>
          </w:tcPr>
          <w:p>
            <w: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15#</w:t>
            </w:r>
          </w:p>
        </w:tc>
        <w:tc>
          <w:tcPr>
            <w:tcW w:w="1866" w:type="dxa"/>
            <w:vAlign w:val="center"/>
          </w:tcPr>
          <w:p>
            <w:r>
              <w:t>480.9</w:t>
            </w:r>
          </w:p>
        </w:tc>
        <w:tc>
          <w:tcPr>
            <w:tcW w:w="1866" w:type="dxa"/>
            <w:vAlign w:val="center"/>
          </w:tcPr>
          <w:p>
            <w:r>
              <w:t>391.1</w:t>
            </w:r>
          </w:p>
        </w:tc>
        <w:tc>
          <w:tcPr>
            <w:tcW w:w="1866" w:type="dxa"/>
            <w:vAlign w:val="center"/>
          </w:tcPr>
          <w:p>
            <w:r>
              <w:t>480.9</w:t>
            </w:r>
          </w:p>
        </w:tc>
        <w:tc>
          <w:tcPr>
            <w:tcW w:w="1866" w:type="dxa"/>
            <w:vAlign w:val="center"/>
          </w:tcPr>
          <w:p>
            <w:r>
              <w:t>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8422.1</w:t>
            </w:r>
          </w:p>
        </w:tc>
        <w:tc>
          <w:tcPr>
            <w:tcW w:w="1866" w:type="dxa"/>
            <w:vAlign w:val="center"/>
          </w:tcPr>
          <w:p>
            <w:r>
              <w:t>4336.8</w:t>
            </w:r>
          </w:p>
        </w:tc>
        <w:tc>
          <w:tcPr>
            <w:tcW w:w="1866" w:type="dxa"/>
            <w:vAlign w:val="center"/>
          </w:tcPr>
          <w:p>
            <w:r>
              <w:t>8422.0</w:t>
            </w:r>
          </w:p>
        </w:tc>
        <w:tc>
          <w:tcPr>
            <w:tcW w:w="1866" w:type="dxa"/>
            <w:vAlign w:val="center"/>
          </w:tcPr>
          <w:p>
            <w:r>
              <w:t>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5" w:name="屋面绿化率"/>
      <w:bookmarkEnd w:id="45"/>
    </w:p>
    <w:p>
      <w:pPr>
        <w:pStyle w:val="2"/>
      </w:pPr>
      <w:bookmarkStart w:id="46" w:name="_Toc155709761"/>
      <w:r>
        <w:rPr>
          <w:rFonts w:hint="eastAsia"/>
        </w:rPr>
        <w:t>结论</w:t>
      </w:r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7" w:name="结论"/>
            <w:bookmarkEnd w:id="47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满足</w:t>
            </w:r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48" w:name="活动场地遮阳覆盖率结论"/>
            <w:r>
              <w:rPr>
                <w:rFonts w:hint="eastAsia"/>
                <w:b/>
              </w:rPr>
              <w:t>满足</w:t>
            </w:r>
            <w:bookmarkEnd w:id="48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49" w:name="底层通风架空率结论"/>
            <w:r>
              <w:t>满足</w:t>
            </w:r>
            <w:bookmarkEnd w:id="49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0" w:name="绿化遮阳体叶面积指数结论"/>
            <w:r>
              <w:t>满足</w:t>
            </w:r>
            <w:bookmarkEnd w:id="50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1" w:name="渗透蒸发指标结论"/>
            <w:r>
              <w:t>满足</w:t>
            </w:r>
            <w:bookmarkEnd w:id="51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2" w:name="屋面绿化率结论"/>
            <w: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YWM4M2QyY2VlYmZmZDBiNDIwYmZlMmYxOWZiOGIifQ=="/>
  </w:docVars>
  <w:rsids>
    <w:rsidRoot w:val="00D06001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070F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2631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06001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12A926C8"/>
    <w:rsid w:val="7FD9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b/>
      <w:bCs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Hyperlink"/>
    <w:autoRedefine/>
    <w:qFormat/>
    <w:uiPriority w:val="99"/>
    <w:rPr>
      <w:color w:val="0000FF"/>
      <w:u w:val="single"/>
    </w:rPr>
  </w:style>
  <w:style w:type="character" w:customStyle="1" w:styleId="26">
    <w:name w:val="标题 字符"/>
    <w:basedOn w:val="22"/>
    <w:link w:val="19"/>
    <w:autoRedefine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94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Company>ths</Company>
  <Pages>11</Pages>
  <Words>999</Words>
  <Characters>5696</Characters>
  <Lines>47</Lines>
  <Paragraphs>13</Paragraphs>
  <TotalTime>842</TotalTime>
  <ScaleCrop>false</ScaleCrop>
  <LinksUpToDate>false</LinksUpToDate>
  <CharactersWithSpaces>6682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2024-01-09T08:22:00Z</dcterms:created>
  <dc:creator>0394</dc:creator>
  <cp:lastModifiedBy>鹿弋</cp:lastModifiedBy>
  <cp:lastPrinted>2411-12-31T16:00:00Z</cp:lastPrinted>
  <dcterms:modified xsi:type="dcterms:W3CDTF">2024-03-01T02:52:28Z</dcterms:modified>
  <dc:title>住区热环境规定性设计计算书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15BECDACF2E84B1C8A00137BABB69AF0_13</vt:lpwstr>
  </property>
</Properties>
</file>