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numPr>
          <w:numId w:val="0"/>
        </w:numPr>
        <w:ind w:leftChars="0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kern w:val="2"/>
          <w:sz w:val="21"/>
          <w:szCs w:val="21"/>
        </w:rPr>
      </w:pPr>
      <w:bookmarkStart w:id="0" w:name="_Toc155788098"/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kern w:val="2"/>
          <w:sz w:val="21"/>
          <w:szCs w:val="21"/>
        </w:rPr>
        <w:t>工程材料</w:t>
      </w:r>
      <w:bookmarkEnd w:id="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蒸汽渗透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kg/m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水泥砂浆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0.930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11.370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1800.0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1050.0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石灰砂浆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0.810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10.070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1600.0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1050.0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0.0443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钢筋混凝土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1.740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17.200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2500.0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920.0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岩棉板(ρ=60-160)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0.041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0.615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110.0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1220.0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细石混凝土（双向配筋）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1.740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17.060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2500.0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920.0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lc5.0轻集料混凝土找坡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0.300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5.000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1050.0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1091.3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0.0017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加气混凝土砌块墙B06级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0.240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3.760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630.0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1050.0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绝热用挤塑聚苯乙烯泡沫塑料板，X150~X500型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0.030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0.305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32.5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1380.0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岩棉板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0.045</w:t>
            </w:r>
          </w:p>
        </w:tc>
        <w:tc>
          <w:tcPr>
            <w:tcW w:w="103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0.819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140.0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1464.0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  <w:bookmarkStart w:id="4" w:name="_GoBack"/>
      <w:bookmarkEnd w:id="4"/>
    </w:p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</w:p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</w:p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</w:p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</w:p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外表面积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3790.31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建筑体积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11816.21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严寒和寒冷地区体形系数应符合表3.1.3的规定(s≤0.40)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2001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1,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36.27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245.06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3001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1,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18.76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174.03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4001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1,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17.49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153.29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整栋建筑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72.52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1346.42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7244" w:type="dxa"/>
            <w:gridSpan w:val="4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综合太阳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12A钢铝单框双玻窗（平均）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30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2.40</w:t>
            </w:r>
          </w:p>
        </w:tc>
        <w:tc>
          <w:tcPr>
            <w:tcW w:w="130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0.65</w:t>
            </w:r>
          </w:p>
        </w:tc>
        <w:tc>
          <w:tcPr>
            <w:tcW w:w="2773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平均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2.40</w:t>
            </w:r>
          </w:p>
        </w:tc>
        <w:tc>
          <w:tcPr>
            <w:tcW w:w="130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0.33</w:t>
            </w:r>
          </w:p>
        </w:tc>
        <w:tc>
          <w:tcPr>
            <w:tcW w:w="2773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K≤2.4,SHGC≤0.35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  <w:t>上人平屋面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材料名称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修正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热惰性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40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1.740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17.060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0.023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绝热用挤塑聚苯乙烯泡沫塑料板，X150~X500型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80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0.030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0.305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1.05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2.540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0.930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11.370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0.022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lc5.0轻集料混凝土找坡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5.000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0.100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1.740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17.200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290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2.753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3.136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K≤0.40,S≤0.30或K≤0.35,0.30&lt;S≤0.50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</w:p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</w:p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</w:p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</w:p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  <w:t>外墙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构件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传热系数K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热惰性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太阳辐射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外墙构造一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1561.00</w:t>
            </w:r>
          </w:p>
        </w:tc>
        <w:tc>
          <w:tcPr>
            <w:tcW w:w="922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1.000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0.37</w:t>
            </w:r>
          </w:p>
        </w:tc>
        <w:tc>
          <w:tcPr>
            <w:tcW w:w="1107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4.55</w:t>
            </w:r>
          </w:p>
        </w:tc>
        <w:tc>
          <w:tcPr>
            <w:tcW w:w="1107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平均传热系数K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0.37 × 1.20 = 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6381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6381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K≤0.50,S≤0.30或K≤0.45,0.30&lt;S≤0.50(K≤0.45)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6381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材料名称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修正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热惰性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0.930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11.370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0.022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1.740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17.200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岩棉板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0.045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0.819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1.10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2.020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0.930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11.370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0.005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245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2.116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3.312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K≤0.50,S≤0.30或K≤0.45,0.30&lt;S≤0.50(K≤0.50且S≤0.30或K≤0.45且S≤0.50)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南向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立面1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183.30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1.70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0.33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0.35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K≤1.80, SHGC≤0.40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北向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立面2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166.75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1.70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0.33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0.29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K≤2.40, SHGC(不要求)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东向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立面3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286.88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1.70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0.33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0.44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K≤1.70, SHGC≤0.40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西向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立面4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157.65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1.70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0.33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0.26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K≤2.40, SHGC≤0.48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综合平均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794.57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1.70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0.33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0.34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外窗传热系数和太阳得热系数满足表3.1.10-3的要求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  <w:t>注：本表所统计的外窗包含凸窗。</w:t>
      </w:r>
    </w:p>
    <w:p>
      <w:pPr>
        <w:pStyle w:val="5"/>
        <w:widowControl w:val="0"/>
        <w:numPr>
          <w:numId w:val="0"/>
        </w:numPr>
        <w:ind w:leftChars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</w:rPr>
        <w:t>周边地面构造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修正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热惰性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0.930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11.370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0.022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岩棉板(ρ=60-160)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50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0.041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0.615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1.220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1.740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17.200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color w:val="999999"/>
                <w:sz w:val="21"/>
                <w:szCs w:val="21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190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1.310</w:t>
            </w:r>
          </w:p>
        </w:tc>
        <w:tc>
          <w:tcPr>
            <w:tcW w:w="106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2.181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  <w:t>备注：用灰色显示的材料是非保温材料。</w:t>
      </w:r>
    </w:p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</w:p>
    <w:p>
      <w:pPr>
        <w:pStyle w:val="4"/>
        <w:widowControl w:val="0"/>
        <w:numPr>
          <w:numId w:val="0"/>
        </w:numPr>
        <w:ind w:leftChars="0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kern w:val="2"/>
          <w:sz w:val="21"/>
          <w:szCs w:val="21"/>
        </w:rPr>
      </w:pPr>
      <w:bookmarkStart w:id="1" w:name="_Toc155788112"/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kern w:val="2"/>
          <w:sz w:val="21"/>
          <w:szCs w:val="21"/>
        </w:rPr>
        <w:t>可开启窗扇</w:t>
      </w:r>
      <w:bookmarkEnd w:id="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开启比例</w:t>
            </w:r>
          </w:p>
        </w:tc>
        <w:tc>
          <w:tcPr>
            <w:tcW w:w="173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1001(最不利房间)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普通办公室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C3319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</w:t>
            </w: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有可开启窗扇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C1819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</w:t>
            </w: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C3017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</w:t>
            </w: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C2817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</w:t>
            </w: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C3317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</w:t>
            </w: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C1317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</w:t>
            </w: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C3017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</w:t>
            </w: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C3417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0.30</w:t>
            </w: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3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3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3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kern w:val="2"/>
          <w:sz w:val="21"/>
          <w:szCs w:val="21"/>
        </w:rPr>
      </w:pPr>
      <w:bookmarkStart w:id="2" w:name="_Toc155788113"/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kern w:val="2"/>
          <w:sz w:val="21"/>
          <w:szCs w:val="21"/>
        </w:rPr>
        <w:t>非中空窗面积比</w:t>
      </w:r>
      <w:bookmarkEnd w:id="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南向</w:t>
            </w:r>
          </w:p>
        </w:tc>
        <w:tc>
          <w:tcPr>
            <w:tcW w:w="140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立面1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183.30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</w:t>
            </w: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0.15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北向</w:t>
            </w:r>
          </w:p>
        </w:tc>
        <w:tc>
          <w:tcPr>
            <w:tcW w:w="140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立面2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166.75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</w:t>
            </w: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0.15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东向</w:t>
            </w:r>
          </w:p>
        </w:tc>
        <w:tc>
          <w:tcPr>
            <w:tcW w:w="140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立面3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286.88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</w:t>
            </w: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0.15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西向</w:t>
            </w:r>
          </w:p>
        </w:tc>
        <w:tc>
          <w:tcPr>
            <w:tcW w:w="140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立面4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157.65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0.00</w:t>
            </w: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0.15</w:t>
            </w:r>
          </w:p>
        </w:tc>
        <w:tc>
          <w:tcPr>
            <w:tcW w:w="1018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kern w:val="2"/>
          <w:sz w:val="21"/>
          <w:szCs w:val="21"/>
        </w:rPr>
      </w:pPr>
      <w:bookmarkStart w:id="3" w:name="_Toc155788114"/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kern w:val="2"/>
          <w:sz w:val="21"/>
          <w:szCs w:val="21"/>
        </w:rPr>
        <w:t>规定性指标检查结论</w:t>
      </w:r>
      <w:bookmarkEnd w:id="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体形系数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天窗屋顶比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天窗类型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屋顶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外墙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挑空楼板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外窗热工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周边地面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可开启窗扇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4069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非中空窗面积比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结论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方正清刻本悦宋简体" w:hAnsi="方正清刻本悦宋简体" w:eastAsia="方正清刻本悦宋简体" w:cs="方正清刻本悦宋简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 w:val="0"/>
        <w:jc w:val="both"/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kern w:val="2"/>
          <w:sz w:val="21"/>
          <w:szCs w:val="21"/>
          <w:lang w:val="en-US"/>
        </w:rPr>
      </w:pPr>
    </w:p>
    <w:p>
      <w:pP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sz w:val="21"/>
          <w:szCs w:val="21"/>
        </w:rPr>
      </w:pP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sz w:val="21"/>
          <w:szCs w:val="21"/>
        </w:rPr>
        <w:t>□说明：本工程所有规定性设计指标</w:t>
      </w: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FF00FF"/>
          <w:sz w:val="21"/>
          <w:szCs w:val="21"/>
        </w:rPr>
        <w:t>满足</w:t>
      </w:r>
      <w: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color w:val="000000"/>
          <w:sz w:val="21"/>
          <w:szCs w:val="21"/>
        </w:rPr>
        <w:t>《建筑节能与可再生能源利用通用规范》GB55015-2021的要求。</w:t>
      </w:r>
    </w:p>
    <w:p>
      <w:pPr>
        <w:rPr>
          <w:rFonts w:hint="eastAsia" w:ascii="方正清刻本悦宋简体" w:hAnsi="方正清刻本悦宋简体" w:eastAsia="方正清刻本悦宋简体" w:cs="方正清刻本悦宋简体"/>
          <w:b w:val="0"/>
          <w:bCs w:val="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YWM4M2QyY2VlYmZmZDBiNDIwYmZlMmYxOWZiOGIifQ=="/>
  </w:docVars>
  <w:rsids>
    <w:rsidRoot w:val="00277ED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77EDD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41F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E1904"/>
    <w:rsid w:val="00FF2243"/>
    <w:rsid w:val="1124561A"/>
    <w:rsid w:val="6FF0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9;&#26000;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5</Pages>
  <Words>1709</Words>
  <Characters>3038</Characters>
  <Lines>116</Lines>
  <Paragraphs>32</Paragraphs>
  <TotalTime>51</TotalTime>
  <ScaleCrop>false</ScaleCrop>
  <LinksUpToDate>false</LinksUpToDate>
  <CharactersWithSpaces>3110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2024-01-10T06:07:00Z</dcterms:created>
  <dc:creator>丁斐1</dc:creator>
  <cp:lastModifiedBy>DELL</cp:lastModifiedBy>
  <cp:lastPrinted>2411-12-31T16:00:00Z</cp:lastPrinted>
  <dcterms:modified xsi:type="dcterms:W3CDTF">2024-01-10T14:25:55Z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80F24B5FE51E42D59D392CCDFEF4533C_13</vt:lpwstr>
  </property>
</Properties>
</file>