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4"/>
        <w:ind w:left="790" w:right="790"/>
        <w:jc w:val="center"/>
        <w:rPr>
          <w:rFonts w:ascii="宋体" w:hAnsi="宋体" w:eastAsia="宋体"/>
        </w:rPr>
      </w:pPr>
    </w:p>
    <w:p>
      <w:pPr>
        <w:spacing w:before="234"/>
        <w:ind w:left="790" w:right="790"/>
        <w:jc w:val="center"/>
        <w:rPr>
          <w:rFonts w:ascii="宋体" w:hAnsi="宋体" w:eastAsia="宋体"/>
        </w:rPr>
      </w:pPr>
    </w:p>
    <w:p>
      <w:pPr>
        <w:spacing w:before="234"/>
        <w:ind w:left="790" w:right="790"/>
        <w:jc w:val="center"/>
        <w:rPr>
          <w:rFonts w:ascii="宋体" w:hAnsi="宋体" w:eastAsia="宋体"/>
        </w:rPr>
      </w:pPr>
    </w:p>
    <w:p>
      <w:pPr>
        <w:pStyle w:val="5"/>
        <w:ind w:firstLine="0"/>
        <w:jc w:val="center"/>
        <w:rPr>
          <w:rFonts w:hint="default" w:ascii="Calibri" w:eastAsia="宋体"/>
          <w:sz w:val="20"/>
          <w:lang w:val="en-US" w:eastAsia="zh-CN"/>
        </w:rPr>
      </w:pPr>
      <w:r>
        <w:rPr>
          <w:rFonts w:hint="eastAsia" w:asciiTheme="majorEastAsia" w:hAnsiTheme="majorEastAsia" w:eastAsiaTheme="majorEastAsia" w:cstheme="majorEastAsia"/>
          <w:sz w:val="36"/>
          <w:lang w:val="en-US" w:eastAsia="zh-CN"/>
        </w:rPr>
        <w:t>博物馆绿色低碳设计</w:t>
      </w:r>
    </w:p>
    <w:p>
      <w:pPr>
        <w:ind w:right="790"/>
        <w:rPr>
          <w:rFonts w:ascii="黑体" w:eastAsia="黑体"/>
          <w:b/>
          <w:bCs/>
          <w:sz w:val="48"/>
        </w:rPr>
      </w:pPr>
    </w:p>
    <w:p>
      <w:pPr>
        <w:ind w:right="790"/>
        <w:jc w:val="center"/>
        <w:rPr>
          <w:rFonts w:ascii="黑体" w:eastAsia="黑体"/>
          <w:b/>
          <w:bCs/>
          <w:sz w:val="48"/>
        </w:rPr>
      </w:pPr>
      <w:r>
        <w:rPr>
          <w:rFonts w:hint="eastAsia" w:ascii="黑体" w:eastAsia="黑体"/>
          <w:b/>
          <w:bCs/>
          <w:sz w:val="48"/>
        </w:rPr>
        <w:t>水资源利用方案报告</w:t>
      </w: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pStyle w:val="5"/>
        <w:ind w:firstLine="600"/>
        <w:jc w:val="center"/>
        <w:rPr>
          <w:rFonts w:ascii="黑体" w:eastAsia="黑体"/>
          <w:sz w:val="30"/>
          <w:szCs w:val="30"/>
        </w:rPr>
      </w:pPr>
      <w:r>
        <w:rPr>
          <w:rFonts w:hint="eastAsia" w:ascii="黑体" w:eastAsia="黑体"/>
          <w:sz w:val="30"/>
          <w:szCs w:val="30"/>
        </w:rPr>
        <w:t>北京绿建软件股份有限公司</w:t>
      </w:r>
    </w:p>
    <w:p>
      <w:pPr>
        <w:adjustRightInd w:val="0"/>
        <w:snapToGrid w:val="0"/>
        <w:spacing w:before="120"/>
        <w:jc w:val="center"/>
        <w:rPr>
          <w:rFonts w:ascii="微软雅黑" w:hAnsi="微软雅黑" w:eastAsia="微软雅黑"/>
          <w:sz w:val="24"/>
        </w:rPr>
      </w:pPr>
      <w:r>
        <w:rPr>
          <w:rFonts w:ascii="Times New Roman" w:hAnsi="Times New Roman" w:eastAsia="黑体" w:cs="Times New Roman"/>
          <w:sz w:val="30"/>
          <w:szCs w:val="30"/>
        </w:rPr>
        <w:t>202</w:t>
      </w:r>
      <w:r>
        <w:rPr>
          <w:rFonts w:hint="eastAsia" w:ascii="Times New Roman" w:hAnsi="Times New Roman" w:eastAsia="黑体" w:cs="Times New Roman"/>
          <w:sz w:val="30"/>
          <w:szCs w:val="30"/>
        </w:rPr>
        <w:t>1</w:t>
      </w:r>
      <w:r>
        <w:rPr>
          <w:rFonts w:ascii="Times New Roman" w:hAnsi="Times New Roman" w:eastAsia="黑体" w:cs="Times New Roman"/>
          <w:sz w:val="30"/>
          <w:szCs w:val="30"/>
        </w:rPr>
        <w:t xml:space="preserve"> 年 </w:t>
      </w:r>
      <w:r>
        <w:rPr>
          <w:rFonts w:hint="eastAsia" w:ascii="Times New Roman" w:hAnsi="Times New Roman" w:eastAsia="黑体" w:cs="Times New Roman"/>
          <w:sz w:val="30"/>
          <w:szCs w:val="30"/>
        </w:rPr>
        <w:t>1</w:t>
      </w:r>
      <w:r>
        <w:rPr>
          <w:rFonts w:ascii="Times New Roman" w:hAnsi="Times New Roman" w:eastAsia="黑体" w:cs="Times New Roman"/>
          <w:sz w:val="30"/>
          <w:szCs w:val="30"/>
        </w:rPr>
        <w:t xml:space="preserve"> 月</w:t>
      </w:r>
    </w:p>
    <w:p>
      <w:pPr>
        <w:widowControl/>
        <w:jc w:val="left"/>
        <w:rPr>
          <w:rFonts w:ascii="Times New Roman" w:hAnsi="Times New Roman" w:eastAsia="宋体"/>
        </w:rPr>
      </w:pPr>
      <w:r>
        <w:rPr>
          <w:rFonts w:ascii="Times New Roman" w:hAnsi="Times New Roman" w:eastAsia="宋体"/>
        </w:rPr>
        <w:br w:type="page"/>
      </w:r>
    </w:p>
    <w:sdt>
      <w:sdtPr>
        <w:rPr>
          <w:rFonts w:asciiTheme="minorHAnsi" w:hAnsiTheme="minorHAnsi" w:eastAsiaTheme="minorEastAsia" w:cstheme="minorBidi"/>
          <w:color w:val="auto"/>
          <w:kern w:val="2"/>
          <w:sz w:val="21"/>
          <w:szCs w:val="22"/>
          <w:lang w:val="zh-CN"/>
        </w:rPr>
        <w:id w:val="1022984560"/>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3"/>
            <w:pageBreakBefore w:val="0"/>
            <w:kinsoku/>
            <w:wordWrap/>
            <w:overflowPunct/>
            <w:topLinePunct w:val="0"/>
            <w:autoSpaceDE/>
            <w:autoSpaceDN/>
            <w:bidi w:val="0"/>
            <w:adjustRightInd/>
            <w:snapToGrid/>
            <w:spacing w:line="360" w:lineRule="auto"/>
            <w:jc w:val="center"/>
            <w:textAlignment w:val="auto"/>
          </w:pPr>
          <w:r>
            <w:rPr>
              <w:lang w:val="zh-CN"/>
            </w:rPr>
            <w:t>目录</w:t>
          </w:r>
        </w:p>
        <w:p>
          <w:pPr>
            <w:pStyle w:val="10"/>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TOC \o "1-3" \h \z \u </w:instrText>
          </w:r>
          <w:r>
            <w:fldChar w:fldCharType="separate"/>
          </w:r>
          <w:r>
            <w:fldChar w:fldCharType="begin"/>
          </w:r>
          <w:r>
            <w:instrText xml:space="preserve"> HYPERLINK \l "_Toc61956665" </w:instrText>
          </w:r>
          <w:r>
            <w:fldChar w:fldCharType="separate"/>
          </w:r>
          <w:r>
            <w:rPr>
              <w:rStyle w:val="14"/>
              <w:rFonts w:ascii="Times New Roman" w:hAnsi="Times New Roman" w:eastAsia="宋体"/>
            </w:rPr>
            <w:t>一、项目概况</w:t>
          </w:r>
          <w:r>
            <w:tab/>
          </w:r>
          <w:r>
            <w:fldChar w:fldCharType="begin"/>
          </w:r>
          <w:r>
            <w:instrText xml:space="preserve"> PAGEREF _Toc61956665 \h </w:instrText>
          </w:r>
          <w:r>
            <w:fldChar w:fldCharType="separate"/>
          </w:r>
          <w:r>
            <w:t>3</w:t>
          </w:r>
          <w:r>
            <w:fldChar w:fldCharType="end"/>
          </w:r>
          <w:r>
            <w:fldChar w:fldCharType="end"/>
          </w:r>
        </w:p>
        <w:p>
          <w:pPr>
            <w:pStyle w:val="10"/>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"_Toc61956666" </w:instrText>
          </w:r>
          <w:r>
            <w:fldChar w:fldCharType="separate"/>
          </w:r>
          <w:r>
            <w:rPr>
              <w:rStyle w:val="14"/>
              <w:rFonts w:ascii="Times New Roman" w:hAnsi="Times New Roman" w:eastAsia="宋体"/>
            </w:rPr>
            <w:t>二、政策及环境分析</w:t>
          </w:r>
          <w:r>
            <w:tab/>
          </w:r>
          <w:r>
            <w:fldChar w:fldCharType="begin"/>
          </w:r>
          <w:r>
            <w:instrText xml:space="preserve"> PAGEREF _Toc61956666 \h </w:instrText>
          </w:r>
          <w:r>
            <w:fldChar w:fldCharType="separate"/>
          </w:r>
          <w:r>
            <w:t>3</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"_Toc61956667" </w:instrText>
          </w:r>
          <w:r>
            <w:fldChar w:fldCharType="separate"/>
          </w:r>
          <w:r>
            <w:rPr>
              <w:rStyle w:val="14"/>
              <w:rFonts w:ascii="Times New Roman" w:hAnsi="Times New Roman" w:eastAsia="宋体"/>
            </w:rPr>
            <w:t>2.1政策要求</w:t>
          </w:r>
          <w:r>
            <w:tab/>
          </w:r>
          <w:r>
            <w:fldChar w:fldCharType="begin"/>
          </w:r>
          <w:r>
            <w:instrText xml:space="preserve"> PAGEREF _Toc61956667 \h </w:instrText>
          </w:r>
          <w:r>
            <w:fldChar w:fldCharType="separate"/>
          </w:r>
          <w:r>
            <w:t>3</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"_Toc61956668" </w:instrText>
          </w:r>
          <w:r>
            <w:fldChar w:fldCharType="separate"/>
          </w:r>
          <w:r>
            <w:rPr>
              <w:rStyle w:val="14"/>
              <w:rFonts w:ascii="Times New Roman" w:hAnsi="Times New Roman" w:eastAsia="宋体"/>
            </w:rPr>
            <w:t>2.2水资源状况</w:t>
          </w:r>
          <w:r>
            <w:tab/>
          </w:r>
          <w:r>
            <w:fldChar w:fldCharType="begin"/>
          </w:r>
          <w:r>
            <w:instrText xml:space="preserve"> PAGEREF _Toc61956668 \h </w:instrText>
          </w:r>
          <w:r>
            <w:fldChar w:fldCharType="separate"/>
          </w:r>
          <w:r>
            <w:t>3</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"_Toc61956669" </w:instrText>
          </w:r>
          <w:r>
            <w:fldChar w:fldCharType="separate"/>
          </w:r>
          <w:r>
            <w:rPr>
              <w:rStyle w:val="14"/>
              <w:rFonts w:ascii="Times New Roman" w:hAnsi="Times New Roman" w:eastAsia="宋体"/>
            </w:rPr>
            <w:t>2.3气象资料</w:t>
          </w:r>
          <w:r>
            <w:tab/>
          </w:r>
          <w:r>
            <w:fldChar w:fldCharType="begin"/>
          </w:r>
          <w:r>
            <w:instrText xml:space="preserve"> PAGEREF _Toc61956669 \h </w:instrText>
          </w:r>
          <w:r>
            <w:fldChar w:fldCharType="separate"/>
          </w:r>
          <w:r>
            <w:t>4</w:t>
          </w:r>
          <w:r>
            <w:fldChar w:fldCharType="end"/>
          </w:r>
          <w:r>
            <w:fldChar w:fldCharType="end"/>
          </w:r>
        </w:p>
        <w:p>
          <w:pPr>
            <w:pStyle w:val="10"/>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"_Toc61956670" </w:instrText>
          </w:r>
          <w:r>
            <w:fldChar w:fldCharType="separate"/>
          </w:r>
          <w:r>
            <w:rPr>
              <w:rStyle w:val="14"/>
              <w:rFonts w:ascii="Times New Roman" w:hAnsi="Times New Roman" w:eastAsia="宋体"/>
            </w:rPr>
            <w:t>三、用水量估算</w:t>
          </w:r>
          <w:r>
            <w:tab/>
          </w:r>
          <w:r>
            <w:fldChar w:fldCharType="begin"/>
          </w:r>
          <w:r>
            <w:instrText xml:space="preserve"> PAGEREF _Toc61956670 \h </w:instrText>
          </w:r>
          <w:r>
            <w:fldChar w:fldCharType="separate"/>
          </w:r>
          <w:r>
            <w:t>5</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"_Toc61956671" </w:instrText>
          </w:r>
          <w:r>
            <w:fldChar w:fldCharType="separate"/>
          </w:r>
          <w:r>
            <w:rPr>
              <w:rStyle w:val="14"/>
              <w:rFonts w:ascii="Times New Roman" w:hAnsi="Times New Roman" w:eastAsia="宋体"/>
            </w:rPr>
            <w:t>3.1用水定额</w:t>
          </w:r>
          <w:r>
            <w:tab/>
          </w:r>
          <w:r>
            <w:fldChar w:fldCharType="begin"/>
          </w:r>
          <w:r>
            <w:instrText xml:space="preserve"> PAGEREF _Toc61956671 \h </w:instrText>
          </w:r>
          <w:r>
            <w:fldChar w:fldCharType="separate"/>
          </w:r>
          <w:r>
            <w:t>5</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"_Toc61956672" </w:instrText>
          </w:r>
          <w:r>
            <w:fldChar w:fldCharType="separate"/>
          </w:r>
          <w:r>
            <w:rPr>
              <w:rStyle w:val="14"/>
              <w:rFonts w:ascii="Times New Roman" w:hAnsi="Times New Roman" w:eastAsia="宋体"/>
            </w:rPr>
            <w:t>3.2用水量估算</w:t>
          </w:r>
          <w:r>
            <w:tab/>
          </w:r>
          <w:r>
            <w:fldChar w:fldCharType="begin"/>
          </w:r>
          <w:r>
            <w:instrText xml:space="preserve"> PAGEREF _Toc61956672 \h </w:instrText>
          </w:r>
          <w:r>
            <w:fldChar w:fldCharType="separate"/>
          </w:r>
          <w:r>
            <w:t>6</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"_Toc61956673" </w:instrText>
          </w:r>
          <w:r>
            <w:fldChar w:fldCharType="separate"/>
          </w:r>
          <w:r>
            <w:rPr>
              <w:rStyle w:val="14"/>
              <w:rFonts w:ascii="Times New Roman" w:hAnsi="Times New Roman" w:eastAsia="宋体"/>
            </w:rPr>
            <w:t>4节水策略</w:t>
          </w:r>
          <w:r>
            <w:tab/>
          </w:r>
          <w:r>
            <w:fldChar w:fldCharType="begin"/>
          </w:r>
          <w:r>
            <w:instrText xml:space="preserve"> PAGEREF _Toc61956673 \h </w:instrText>
          </w:r>
          <w:r>
            <w:fldChar w:fldCharType="separate"/>
          </w:r>
          <w:r>
            <w:t>6</w:t>
          </w:r>
          <w:r>
            <w:fldChar w:fldCharType="end"/>
          </w:r>
          <w:r>
            <w:fldChar w:fldCharType="end"/>
          </w:r>
        </w:p>
        <w:p>
          <w:pPr>
            <w:pStyle w:val="10"/>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"_Toc61956674" </w:instrText>
          </w:r>
          <w:r>
            <w:fldChar w:fldCharType="separate"/>
          </w:r>
          <w:r>
            <w:rPr>
              <w:rStyle w:val="14"/>
              <w:rFonts w:ascii="Times New Roman" w:hAnsi="Times New Roman" w:eastAsia="宋体"/>
            </w:rPr>
            <w:t>五、给排水系统设计方案</w:t>
          </w:r>
          <w:r>
            <w:tab/>
          </w:r>
          <w:r>
            <w:fldChar w:fldCharType="begin"/>
          </w:r>
          <w:r>
            <w:instrText xml:space="preserve"> PAGEREF _Toc61956674 \h </w:instrText>
          </w:r>
          <w:r>
            <w:fldChar w:fldCharType="separate"/>
          </w:r>
          <w:r>
            <w:t>6</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"_Toc61956675" </w:instrText>
          </w:r>
          <w:r>
            <w:fldChar w:fldCharType="separate"/>
          </w:r>
          <w:r>
            <w:rPr>
              <w:rStyle w:val="14"/>
              <w:rFonts w:ascii="Times New Roman" w:hAnsi="Times New Roman" w:eastAsia="宋体"/>
            </w:rPr>
            <w:t>5.1生活给水系统</w:t>
          </w:r>
          <w:r>
            <w:tab/>
          </w:r>
          <w:r>
            <w:fldChar w:fldCharType="begin"/>
          </w:r>
          <w:r>
            <w:instrText xml:space="preserve"> PAGEREF _Toc61956675 \h </w:instrText>
          </w:r>
          <w:r>
            <w:fldChar w:fldCharType="separate"/>
          </w:r>
          <w:r>
            <w:t>6</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"_Toc61956676" </w:instrText>
          </w:r>
          <w:r>
            <w:fldChar w:fldCharType="separate"/>
          </w:r>
          <w:r>
            <w:rPr>
              <w:rStyle w:val="14"/>
              <w:rFonts w:ascii="Times New Roman" w:hAnsi="Times New Roman" w:eastAsia="宋体"/>
            </w:rPr>
            <w:t>5.2生活排水系统</w:t>
          </w:r>
          <w:r>
            <w:tab/>
          </w:r>
          <w:r>
            <w:fldChar w:fldCharType="begin"/>
          </w:r>
          <w:r>
            <w:instrText xml:space="preserve"> PAGEREF _Toc61956676 \h </w:instrText>
          </w:r>
          <w:r>
            <w:fldChar w:fldCharType="separate"/>
          </w:r>
          <w:r>
            <w:t>7</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"_Toc61956677" </w:instrText>
          </w:r>
          <w:r>
            <w:fldChar w:fldCharType="separate"/>
          </w:r>
          <w:r>
            <w:rPr>
              <w:rStyle w:val="14"/>
              <w:rFonts w:ascii="Times New Roman" w:hAnsi="Times New Roman" w:eastAsia="宋体"/>
            </w:rPr>
            <w:t>5.3雨水排水系统</w:t>
          </w:r>
          <w:r>
            <w:tab/>
          </w:r>
          <w:r>
            <w:fldChar w:fldCharType="begin"/>
          </w:r>
          <w:r>
            <w:instrText xml:space="preserve"> PAGEREF _Toc61956677 \h </w:instrText>
          </w:r>
          <w:r>
            <w:fldChar w:fldCharType="separate"/>
          </w:r>
          <w:r>
            <w:t>7</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"_Toc61956678" </w:instrText>
          </w:r>
          <w:r>
            <w:fldChar w:fldCharType="separate"/>
          </w:r>
          <w:r>
            <w:rPr>
              <w:rStyle w:val="14"/>
              <w:rFonts w:ascii="Times New Roman" w:hAnsi="Times New Roman" w:eastAsia="宋体"/>
            </w:rPr>
            <w:t>5.4管材与配件</w:t>
          </w:r>
          <w:r>
            <w:tab/>
          </w:r>
          <w:r>
            <w:fldChar w:fldCharType="begin"/>
          </w:r>
          <w:r>
            <w:instrText xml:space="preserve"> PAGEREF _Toc61956678 \h </w:instrText>
          </w:r>
          <w:r>
            <w:fldChar w:fldCharType="separate"/>
          </w:r>
          <w:r>
            <w:t>7</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"_Toc61956679" </w:instrText>
          </w:r>
          <w:r>
            <w:fldChar w:fldCharType="separate"/>
          </w:r>
          <w:r>
            <w:rPr>
              <w:rStyle w:val="14"/>
              <w:rFonts w:ascii="Times New Roman" w:hAnsi="Times New Roman" w:eastAsia="宋体"/>
            </w:rPr>
            <w:t>5.5阀门及附件</w:t>
          </w:r>
          <w:r>
            <w:tab/>
          </w:r>
          <w:r>
            <w:fldChar w:fldCharType="begin"/>
          </w:r>
          <w:r>
            <w:instrText xml:space="preserve"> PAGEREF _Toc61956679 \h </w:instrText>
          </w:r>
          <w:r>
            <w:fldChar w:fldCharType="separate"/>
          </w:r>
          <w:r>
            <w:t>7</w:t>
          </w:r>
          <w:r>
            <w:fldChar w:fldCharType="end"/>
          </w:r>
          <w:r>
            <w:fldChar w:fldCharType="end"/>
          </w:r>
        </w:p>
        <w:p>
          <w:pPr>
            <w:pStyle w:val="6"/>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"_Toc61956680" </w:instrText>
          </w:r>
          <w:r>
            <w:fldChar w:fldCharType="separate"/>
          </w:r>
          <w:r>
            <w:rPr>
              <w:rStyle w:val="14"/>
              <w:rFonts w:ascii="Times New Roman" w:hAnsi="Times New Roman" w:eastAsia="宋体"/>
            </w:rPr>
            <w:t>5.6卫生洁具及附件</w:t>
          </w:r>
          <w:r>
            <w:tab/>
          </w:r>
          <w:r>
            <w:fldChar w:fldCharType="begin"/>
          </w:r>
          <w:r>
            <w:instrText xml:space="preserve"> PAGEREF _Toc61956680 \h </w:instrText>
          </w:r>
          <w:r>
            <w:fldChar w:fldCharType="separate"/>
          </w:r>
          <w:r>
            <w:t>7</w:t>
          </w:r>
          <w:r>
            <w:fldChar w:fldCharType="end"/>
          </w:r>
          <w:r>
            <w:fldChar w:fldCharType="end"/>
          </w:r>
        </w:p>
        <w:p>
          <w:pPr>
            <w:pStyle w:val="10"/>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"_Toc61956681" </w:instrText>
          </w:r>
          <w:r>
            <w:fldChar w:fldCharType="separate"/>
          </w:r>
          <w:r>
            <w:rPr>
              <w:rStyle w:val="14"/>
              <w:rFonts w:ascii="Times New Roman" w:hAnsi="Times New Roman" w:eastAsia="宋体"/>
            </w:rPr>
            <w:t>六、非传统水源利用方案</w:t>
          </w:r>
          <w:r>
            <w:tab/>
          </w:r>
          <w:r>
            <w:fldChar w:fldCharType="begin"/>
          </w:r>
          <w:r>
            <w:instrText xml:space="preserve"> PAGEREF _Toc61956681 \h </w:instrText>
          </w:r>
          <w:r>
            <w:fldChar w:fldCharType="separate"/>
          </w:r>
          <w:r>
            <w:t>7</w:t>
          </w:r>
          <w:r>
            <w:fldChar w:fldCharType="end"/>
          </w:r>
          <w:r>
            <w:fldChar w:fldCharType="end"/>
          </w:r>
        </w:p>
        <w:p>
          <w:pPr>
            <w:pStyle w:val="10"/>
            <w:pageBreakBefore w:val="0"/>
            <w:tabs>
              <w:tab w:val="right" w:leader="dot" w:pos="8296"/>
            </w:tabs>
            <w:kinsoku/>
            <w:wordWrap/>
            <w:overflowPunct/>
            <w:topLinePunct w:val="0"/>
            <w:autoSpaceDE/>
            <w:autoSpaceDN/>
            <w:bidi w:val="0"/>
            <w:adjustRightInd/>
            <w:snapToGrid/>
            <w:spacing w:line="360" w:lineRule="auto"/>
            <w:textAlignment w:val="auto"/>
          </w:pPr>
          <w:r>
            <w:fldChar w:fldCharType="begin"/>
          </w:r>
          <w:r>
            <w:instrText xml:space="preserve"> HYPERLINK \l "_Toc61956682" </w:instrText>
          </w:r>
          <w:r>
            <w:fldChar w:fldCharType="separate"/>
          </w:r>
          <w:r>
            <w:rPr>
              <w:rStyle w:val="14"/>
              <w:rFonts w:ascii="Times New Roman" w:hAnsi="Times New Roman" w:eastAsia="宋体"/>
            </w:rPr>
            <w:t>七、水量平衡</w:t>
          </w:r>
          <w:r>
            <w:tab/>
          </w:r>
          <w:r>
            <w:fldChar w:fldCharType="begin"/>
          </w:r>
          <w:r>
            <w:instrText xml:space="preserve"> PAGEREF _Toc61956682 \h </w:instrText>
          </w:r>
          <w:r>
            <w:fldChar w:fldCharType="separate"/>
          </w:r>
          <w:r>
            <w:t>7</w:t>
          </w:r>
          <w:r>
            <w:fldChar w:fldCharType="end"/>
          </w:r>
          <w:r>
            <w:fldChar w:fldCharType="end"/>
          </w:r>
        </w:p>
        <w:p>
          <w:pPr>
            <w:pageBreakBefore w:val="0"/>
            <w:kinsoku/>
            <w:wordWrap/>
            <w:overflowPunct/>
            <w:topLinePunct w:val="0"/>
            <w:autoSpaceDE/>
            <w:autoSpaceDN/>
            <w:bidi w:val="0"/>
            <w:adjustRightInd/>
            <w:snapToGrid/>
            <w:spacing w:line="360" w:lineRule="auto"/>
            <w:textAlignment w:val="auto"/>
          </w:pPr>
          <w:r>
            <w:rPr>
              <w:b/>
              <w:bCs/>
              <w:lang w:val="zh-CN"/>
            </w:rPr>
            <w:fldChar w:fldCharType="end"/>
          </w:r>
        </w:p>
      </w:sdtContent>
    </w:sdt>
    <w:p>
      <w:pPr>
        <w:widowControl/>
        <w:jc w:val="left"/>
        <w:rPr>
          <w:rFonts w:ascii="Times New Roman" w:hAnsi="Times New Roman" w:eastAsia="宋体"/>
        </w:rPr>
      </w:pPr>
      <w:r>
        <w:rPr>
          <w:rFonts w:ascii="Times New Roman" w:hAnsi="Times New Roman" w:eastAsia="宋体"/>
        </w:rPr>
        <w:br w:type="page"/>
      </w:r>
    </w:p>
    <w:p>
      <w:pPr>
        <w:pStyle w:val="3"/>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0" w:name="_Toc61956665"/>
      <w:r>
        <w:rPr>
          <w:rFonts w:hint="eastAsia" w:ascii="Times New Roman" w:hAnsi="Times New Roman" w:eastAsia="宋体"/>
        </w:rPr>
        <w:t>项目概况</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工程</w:t>
      </w:r>
      <w:r>
        <w:rPr>
          <w:rFonts w:hint="eastAsia" w:ascii="宋体" w:hAnsi="宋体" w:eastAsia="宋体" w:cs="宋体"/>
          <w:sz w:val="24"/>
          <w:szCs w:val="24"/>
        </w:rPr>
        <w:t>设计是通过采用绿色建筑技术为博约楼美术馆进行改造，建筑面积是2700㎡，建筑层数为三层，建筑层高为14.22m。位于普洱市地处云南省西南部，属于亚热带季风气候。冬无严寒，夏无酷暑，享有“绿海明珠”、“天然氧吧”之美誉。普洱市年均气温15℃—20.3℃，全年无霜期在315天以上，年降雨量1100—2780毫米，负氧离子含量在七级以上。</w:t>
      </w:r>
    </w:p>
    <w:p>
      <w:pPr>
        <w:pStyle w:val="3"/>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18" w:name="_GoBack"/>
      <w:bookmarkStart w:id="1" w:name="_Toc61956666"/>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5400040" cy="3599815"/>
            <wp:effectExtent l="0" t="0" r="10160" b="12065"/>
            <wp:wrapTopAndBottom/>
            <wp:docPr id="2" name="图片 1" descr="IMG_256"/>
            <wp:cNvGraphicFramePr/>
            <a:graphic xmlns:a="http://schemas.openxmlformats.org/drawingml/2006/main">
              <a:graphicData uri="http://schemas.openxmlformats.org/drawingml/2006/picture">
                <pic:pic xmlns:pic="http://schemas.openxmlformats.org/drawingml/2006/picture">
                  <pic:nvPicPr>
                    <pic:cNvPr id="2" name="图片 1" descr="IMG_256"/>
                    <pic:cNvPicPr/>
                  </pic:nvPicPr>
                  <pic:blipFill>
                    <a:blip r:embed="rId5"/>
                    <a:stretch>
                      <a:fillRect/>
                    </a:stretch>
                  </pic:blipFill>
                  <pic:spPr>
                    <a:xfrm>
                      <a:off x="0" y="0"/>
                      <a:ext cx="5400040" cy="3599815"/>
                    </a:xfrm>
                    <a:prstGeom prst="rect">
                      <a:avLst/>
                    </a:prstGeom>
                    <a:noFill/>
                    <a:ln w="9525">
                      <a:noFill/>
                    </a:ln>
                  </pic:spPr>
                </pic:pic>
              </a:graphicData>
            </a:graphic>
          </wp:anchor>
        </w:drawing>
      </w:r>
      <w:bookmarkEnd w:id="18"/>
      <w:r>
        <w:rPr>
          <w:rFonts w:hint="eastAsia" w:ascii="Times New Roman" w:hAnsi="Times New Roman" w:eastAsia="宋体"/>
        </w:rPr>
        <w:t>政策及环境分析</w:t>
      </w:r>
      <w:bookmarkEnd w:id="1"/>
    </w:p>
    <w:p>
      <w:pPr>
        <w:pStyle w:val="4"/>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2" w:name="_Toc61956667"/>
      <w:r>
        <w:rPr>
          <w:rFonts w:hint="eastAsia" w:ascii="Times New Roman" w:hAnsi="Times New Roman" w:eastAsia="宋体"/>
        </w:rPr>
        <w:t>2.1政策要求</w:t>
      </w:r>
      <w:bookmarkEnd w:id="2"/>
    </w:p>
    <w:p>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b/>
          <w:bCs/>
          <w:color w:val="000000" w:themeColor="text1"/>
          <w:sz w:val="24"/>
          <w:highlight w:val="none"/>
          <w14:textFill>
            <w14:solidFill>
              <w14:schemeClr w14:val="tx1"/>
            </w14:solidFill>
          </w14:textFill>
        </w:rPr>
      </w:pPr>
      <w:r>
        <w:rPr>
          <w:rFonts w:hint="eastAsia" w:ascii="Times New Roman" w:hAnsi="Times New Roman" w:eastAsia="宋体"/>
          <w:b/>
          <w:bCs/>
          <w:color w:val="000000" w:themeColor="text1"/>
          <w:sz w:val="24"/>
          <w:highlight w:val="none"/>
          <w:lang w:val="en-US" w:eastAsia="zh-CN"/>
          <w14:textFill>
            <w14:solidFill>
              <w14:schemeClr w14:val="tx1"/>
            </w14:solidFill>
          </w14:textFill>
        </w:rPr>
        <w:t>普洱市</w:t>
      </w:r>
      <w:r>
        <w:rPr>
          <w:rFonts w:hint="eastAsia" w:ascii="Times New Roman" w:hAnsi="Times New Roman" w:eastAsia="宋体"/>
          <w:b/>
          <w:bCs/>
          <w:color w:val="000000" w:themeColor="text1"/>
          <w:sz w:val="24"/>
          <w:highlight w:val="none"/>
          <w14:textFill>
            <w14:solidFill>
              <w14:schemeClr w14:val="tx1"/>
            </w14:solidFill>
          </w14:textFill>
        </w:rPr>
        <w:t>建筑用水相关要求</w:t>
      </w:r>
      <w:bookmarkStart w:id="3" w:name="_Toc6195666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设计给水系统管道布置。高层建筑必须设置室内消火栓给水系统，该系统应与其他给水系统分开独立设置。室内消火栓给水系统管道应布置成环状管网，进水管或引入管不应少于两条，当其中一条发生故障时，其余的进水管或引入管应仍能保证消防用水量和所需水压的要求。室内消火栓给水系统竖管的布置应保证同层任何部位有两个消火拴的水枪的充实水柱同时到达。每根立管的直径不应小于100毫米。消火拴处的静水压力不应超过80米水柱，超过要求时应采用竖向分区给水系统。消火拴拴口的出水压力大于50米水柱时，消火拴处应设减压装置。消防电梯前室应设消火拴，但不计入同层消火拴总数。临时高压制给水系统的每个消火拴处应设直接启动消防泵的按钮，并应设保护按钮的设施。高层建筑室内消火栓给水系统在建筑高度50米至80米以下部分的分区，应设置水泵接合器，每个接合器的流量应按10─15 L/s计算。水泵接合器的数量按室内消防用水量计算决定。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喷洒灭火系统的管道布置。供水干管宜构成环状，系统的进水管不宜少于两条，每条进水管的管径应系统按设计负荷计算。当一条进水管发生故障时，另一条进水管仍能保证全部用水量和水压。系统管网上应设置水泵接合器。环状供水干管应设分隔阀门，阀门应经常处于开启状态且有明显的启闭标志，一般应采用明杆阀门。报警阀后的配水管道上不宜安装阀门。系统的每个竖向分区都宜单独设置报警控制阀，每个报警控制阀控制的喷头数不应超过800个。配水管网宜按竖向分区和水平分区并考虑建筑的功能分区，划分为若干计算单元，每个计算单元的喷头数不宜超过100个，每个计算单元宜设一个水流指示器。</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r>
        <w:rPr>
          <w:rFonts w:hint="eastAsia" w:ascii="Times New Roman" w:hAnsi="Times New Roman" w:eastAsia="宋体"/>
        </w:rPr>
        <w:t>2.2水资源状况</w:t>
      </w:r>
      <w:bookmarkEnd w:id="3"/>
    </w:p>
    <w:p>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b/>
          <w:bCs/>
          <w:sz w:val="24"/>
          <w:highlight w:val="none"/>
        </w:rPr>
      </w:pPr>
      <w:r>
        <w:rPr>
          <w:rFonts w:hint="eastAsia" w:ascii="Times New Roman" w:hAnsi="Times New Roman" w:eastAsia="宋体"/>
          <w:b/>
          <w:bCs/>
          <w:sz w:val="24"/>
          <w:highlight w:val="none"/>
        </w:rPr>
        <w:t>项目所在地的水资源情况</w:t>
      </w:r>
      <w:bookmarkStart w:id="4" w:name="_Toc6195666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普洱市位于云南省，拥有丰富的水资源。根据2020年的数据，普洱市的水资源总量为237.3亿立方米，人均水资源量为9865立方米。这些数据表明普洱市的水资源较为丰富，能够满足当地居民的生活和工业需求。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普洱市的水资源分布相对均匀，平均每平方公里年产水量为53.50万立方米。此外，普洱市的用水效率也相对较高，人均综合用水量为499立方米，万元国内生产总值用水量为127立方米，万元工业增加值用水量为39立方米，农田亩均灌溉综合用水量为513立方米，城镇人均生活用水量为124升/日，农村人均生活用水量为79.8升/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rPr>
      </w:pPr>
      <w:r>
        <w:rPr>
          <w:rFonts w:hint="eastAsia" w:ascii="宋体" w:hAnsi="宋体" w:eastAsia="宋体" w:cs="宋体"/>
          <w:sz w:val="24"/>
          <w:szCs w:val="24"/>
          <w:lang w:val="en-US" w:eastAsia="zh-CN"/>
        </w:rPr>
        <w:t>普洱市的用水消耗量为7.792亿立方米，综合耗水率为64.4%，废污水排放量为0.7707亿立方米。这些数据表明普洱市在节约用水方面取得了一定的成效，但仍有提升空间。</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普洱市的年末蓄水总量为5.185亿立方米，比上年增加了1.931亿立方米。这表明普洱市的水利工程建设和运行管理较为有效，能够有效利用和储存水资源。</w:t>
      </w:r>
      <w:bookmarkEnd w:id="4"/>
    </w:p>
    <w:p>
      <w:pPr>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highlight w:val="none"/>
        </w:rPr>
      </w:pPr>
      <w:r>
        <w:rPr>
          <w:rFonts w:hint="eastAsia" w:ascii="Times New Roman" w:hAnsi="Times New Roman" w:eastAsia="宋体"/>
          <w:b/>
          <w:bCs/>
          <w:sz w:val="24"/>
          <w:highlight w:val="none"/>
        </w:rPr>
        <w:t>项目所在地的气象条件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heme="minorBidi"/>
          <w:b w:val="0"/>
          <w:bCs w:val="0"/>
          <w:kern w:val="2"/>
          <w:sz w:val="24"/>
          <w:szCs w:val="22"/>
          <w:lang w:val="en-US" w:eastAsia="zh-CN" w:bidi="ar-SA"/>
        </w:rPr>
      </w:pPr>
      <w:r>
        <w:rPr>
          <w:rFonts w:hint="eastAsia" w:ascii="宋体" w:hAnsi="宋体" w:eastAsia="宋体" w:cs="宋体"/>
          <w:sz w:val="24"/>
          <w:szCs w:val="24"/>
          <w:lang w:val="en-US" w:eastAsia="zh-CN"/>
        </w:rPr>
        <w:t>普洱由于受亚热带季风气候的影响，这里大部分地区常年无霜，冬无严寒，夏无酷暑，享有“绿海明珠”、“天然氧吧”之美誉。普洱市年均气温19.5℃，年无霜期在315天以上，年降雨量1100—2780毫米，空气中负氧离子含量高于世界卫生组织“清新空气”标准14倍多。</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center"/>
        <w:textAlignment w:val="auto"/>
        <w:rPr>
          <w:rFonts w:ascii="Times New Roman" w:hAnsi="Times New Roman" w:eastAsia="宋体"/>
          <w:sz w:val="18"/>
          <w:szCs w:val="18"/>
        </w:rPr>
      </w:pPr>
      <w:r>
        <w:rPr>
          <w:rFonts w:hint="eastAsia" w:ascii="Times New Roman" w:hAnsi="Times New Roman" w:eastAsia="宋体"/>
          <w:sz w:val="18"/>
          <w:szCs w:val="18"/>
        </w:rPr>
        <w:t>表2.3-1</w:t>
      </w:r>
      <w:r>
        <w:rPr>
          <w:rFonts w:ascii="Times New Roman" w:hAnsi="Times New Roman" w:eastAsia="宋体"/>
          <w:sz w:val="18"/>
          <w:szCs w:val="18"/>
        </w:rPr>
        <w:t xml:space="preserve"> </w:t>
      </w:r>
      <w:r>
        <w:rPr>
          <w:rFonts w:hint="eastAsia" w:ascii="Times New Roman" w:hAnsi="Times New Roman" w:eastAsia="宋体"/>
          <w:sz w:val="18"/>
          <w:szCs w:val="18"/>
          <w:lang w:val="en-US" w:eastAsia="zh-CN"/>
        </w:rPr>
        <w:t>普洱</w:t>
      </w:r>
      <w:r>
        <w:rPr>
          <w:rFonts w:hint="eastAsia" w:ascii="Times New Roman" w:hAnsi="Times New Roman" w:eastAsia="宋体"/>
          <w:sz w:val="18"/>
          <w:szCs w:val="18"/>
        </w:rPr>
        <w:t>市多年降雨量（单位：毫米）</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695"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sz w:val="18"/>
                <w:szCs w:val="18"/>
                <w:lang w:eastAsia="zh-CN"/>
              </w:rPr>
            </w:pPr>
            <w:r>
              <w:rPr>
                <w:rFonts w:hint="eastAsia" w:ascii="Times New Roman" w:hAnsi="Times New Roman" w:eastAsia="宋体"/>
                <w:sz w:val="18"/>
                <w:szCs w:val="18"/>
                <w:lang w:eastAsia="zh-CN"/>
              </w:rPr>
              <w:drawing>
                <wp:inline distT="0" distB="0" distL="114300" distR="114300">
                  <wp:extent cx="5405120" cy="2321560"/>
                  <wp:effectExtent l="0" t="0" r="5080" b="10160"/>
                  <wp:docPr id="3" name="图片 3" descr="Screenshot_20240307_23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shot_20240307_231536"/>
                          <pic:cNvPicPr>
                            <a:picLocks noChangeAspect="1"/>
                          </pic:cNvPicPr>
                        </pic:nvPicPr>
                        <pic:blipFill>
                          <a:blip r:embed="rId6"/>
                          <a:stretch>
                            <a:fillRect/>
                          </a:stretch>
                        </pic:blipFill>
                        <pic:spPr>
                          <a:xfrm>
                            <a:off x="0" y="0"/>
                            <a:ext cx="5405120" cy="232156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95" w:type="dxa"/>
            <w:vMerge w:val="continue"/>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95" w:type="dxa"/>
            <w:vMerge w:val="continue"/>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95" w:type="dxa"/>
            <w:vMerge w:val="continue"/>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bl>
    <w:p>
      <w:pPr>
        <w:pStyle w:val="3"/>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ascii="Times New Roman" w:hAnsi="Times New Roman" w:eastAsia="宋体"/>
        </w:rPr>
      </w:pPr>
      <w:r>
        <w:rPr>
          <w:rFonts w:hint="eastAsia" w:ascii="Times New Roman" w:hAnsi="Times New Roman" w:eastAsia="宋体"/>
          <w:sz w:val="18"/>
          <w:szCs w:val="18"/>
          <w:lang w:eastAsia="zh-CN"/>
        </w:rPr>
        <w:t xml:space="preserve"> </w:t>
      </w:r>
      <w:bookmarkStart w:id="5" w:name="_Toc61956670"/>
      <w:r>
        <w:rPr>
          <w:rFonts w:hint="eastAsia" w:ascii="Times New Roman" w:hAnsi="Times New Roman" w:eastAsia="宋体"/>
        </w:rPr>
        <w:t>用水量估算</w:t>
      </w:r>
      <w:bookmarkEnd w:id="5"/>
    </w:p>
    <w:p>
      <w:pPr>
        <w:pStyle w:val="4"/>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6" w:name="_Toc61956671"/>
      <w:r>
        <w:rPr>
          <w:rFonts w:hint="eastAsia" w:ascii="Times New Roman" w:hAnsi="Times New Roman" w:eastAsia="宋体"/>
        </w:rPr>
        <w:t>3.1用水定额</w:t>
      </w:r>
      <w:bookmarkEnd w:id="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rPr>
        <w:t>本项目平均日生活用水节水用水定额、杂用水节水用水定额根据《民用建筑节水设计标准》 GB</w:t>
      </w:r>
      <w:r>
        <w:rPr>
          <w:rFonts w:ascii="Times New Roman" w:hAnsi="Times New Roman" w:eastAsia="宋体"/>
          <w:sz w:val="24"/>
          <w:szCs w:val="24"/>
        </w:rPr>
        <w:t xml:space="preserve"> </w:t>
      </w:r>
      <w:r>
        <w:rPr>
          <w:rFonts w:hint="eastAsia" w:ascii="Times New Roman" w:hAnsi="Times New Roman" w:eastAsia="宋体"/>
          <w:sz w:val="24"/>
          <w:szCs w:val="24"/>
        </w:rPr>
        <w:t>50555-2010的要求，结合本项目实际情况取值：</w:t>
      </w:r>
    </w:p>
    <w:p>
      <w:pPr>
        <w:pageBreakBefore w:val="0"/>
        <w:widowControl w:val="0"/>
        <w:kinsoku/>
        <w:wordWrap/>
        <w:overflowPunct/>
        <w:topLinePunct w:val="0"/>
        <w:autoSpaceDE/>
        <w:autoSpaceDN/>
        <w:bidi w:val="0"/>
        <w:adjustRightInd/>
        <w:snapToGrid/>
        <w:spacing w:line="360" w:lineRule="auto"/>
        <w:ind w:firstLine="360" w:firstLineChars="200"/>
        <w:jc w:val="center"/>
        <w:textAlignment w:val="auto"/>
        <w:rPr>
          <w:rFonts w:ascii="Times New Roman" w:hAnsi="Times New Roman" w:eastAsia="宋体"/>
          <w:sz w:val="18"/>
          <w:szCs w:val="18"/>
        </w:rPr>
      </w:pPr>
      <w:r>
        <w:rPr>
          <w:rFonts w:hint="eastAsia" w:ascii="Times New Roman" w:hAnsi="Times New Roman" w:eastAsia="宋体"/>
          <w:sz w:val="18"/>
          <w:szCs w:val="18"/>
        </w:rPr>
        <w:t>表 3-1</w:t>
      </w:r>
      <w:r>
        <w:rPr>
          <w:rFonts w:ascii="Times New Roman" w:hAnsi="Times New Roman" w:eastAsia="宋体"/>
          <w:sz w:val="18"/>
          <w:szCs w:val="18"/>
        </w:rPr>
        <w:t xml:space="preserve"> </w:t>
      </w:r>
      <w:r>
        <w:rPr>
          <w:rFonts w:hint="eastAsia" w:ascii="Times New Roman" w:hAnsi="Times New Roman" w:eastAsia="宋体"/>
          <w:sz w:val="18"/>
          <w:szCs w:val="18"/>
        </w:rPr>
        <w:t>平均日生活用水节水用水定额</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566"/>
        <w:gridCol w:w="1019"/>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序号</w:t>
            </w:r>
          </w:p>
        </w:tc>
        <w:tc>
          <w:tcPr>
            <w:tcW w:w="2566"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建筑类型及卫生器具设置标准</w:t>
            </w:r>
          </w:p>
        </w:tc>
        <w:tc>
          <w:tcPr>
            <w:tcW w:w="1019"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节水用水定额</w:t>
            </w:r>
          </w:p>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m:oMathPara>
              <m:oMath>
                <m:sSub>
                  <m:sSubPr>
                    <m:ctrlPr>
                      <w:rPr>
                        <w:rFonts w:ascii="Cambria Math" w:hAnsi="Cambria Math" w:eastAsia="宋体"/>
                        <w:sz w:val="18"/>
                        <w:szCs w:val="18"/>
                      </w:rPr>
                    </m:ctrlPr>
                  </m:sSubPr>
                  <m:e>
                    <m:r>
                      <m:rPr/>
                      <w:rPr>
                        <w:rFonts w:hint="eastAsia" w:ascii="Cambria Math" w:hAnsi="Cambria Math" w:eastAsia="宋体"/>
                        <w:sz w:val="18"/>
                        <w:szCs w:val="18"/>
                      </w:rPr>
                      <m:t>q</m:t>
                    </m:r>
                    <m:ctrlPr>
                      <w:rPr>
                        <w:rFonts w:ascii="Cambria Math" w:hAnsi="Cambria Math" w:eastAsia="宋体"/>
                        <w:sz w:val="18"/>
                        <w:szCs w:val="18"/>
                      </w:rPr>
                    </m:ctrlPr>
                  </m:e>
                  <m:sub>
                    <m:r>
                      <m:rPr/>
                      <w:rPr>
                        <w:rFonts w:hint="eastAsia" w:ascii="Cambria Math" w:hAnsi="Cambria Math" w:eastAsia="宋体"/>
                        <w:sz w:val="18"/>
                        <w:szCs w:val="18"/>
                      </w:rPr>
                      <m:t>g</m:t>
                    </m:r>
                    <m:ctrlPr>
                      <w:rPr>
                        <w:rFonts w:ascii="Cambria Math" w:hAnsi="Cambria Math" w:eastAsia="宋体"/>
                        <w:sz w:val="18"/>
                        <w:szCs w:val="18"/>
                      </w:rPr>
                    </m:ctrlPr>
                  </m:sub>
                </m:sSub>
              </m:oMath>
            </m:oMathPara>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单位</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本项目取值</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1</w:t>
            </w:r>
          </w:p>
        </w:tc>
        <w:tc>
          <w:tcPr>
            <w:tcW w:w="2566"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有大便器、洗涤盆</w:t>
            </w:r>
          </w:p>
        </w:tc>
        <w:tc>
          <w:tcPr>
            <w:tcW w:w="1019"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50~70</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 xml:space="preserve">L/A.d </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70</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2</w:t>
            </w:r>
          </w:p>
        </w:tc>
        <w:tc>
          <w:tcPr>
            <w:tcW w:w="2566"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有大便器、洗脸盆、洗涤盆和洗衣机、热水器和沐浴设备</w:t>
            </w:r>
          </w:p>
        </w:tc>
        <w:tc>
          <w:tcPr>
            <w:tcW w:w="1019"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60~100</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lang w:val="en-US" w:eastAsia="zh-CN"/>
              </w:rPr>
              <w:t>L/A.d</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0</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3</w:t>
            </w:r>
          </w:p>
        </w:tc>
        <w:tc>
          <w:tcPr>
            <w:tcW w:w="2566"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有大便器、洗脸盆、洗涤盆、洗衣机、集中供应</w:t>
            </w:r>
            <w:r>
              <w:rPr>
                <w:rFonts w:ascii="宋体" w:hAnsi="宋体" w:eastAsia="宋体" w:cs="宋体"/>
                <w:sz w:val="24"/>
                <w:szCs w:val="24"/>
              </w:rPr>
              <w:br w:type="textWrapping"/>
            </w:r>
            <w:r>
              <w:rPr>
                <w:rFonts w:hint="eastAsia" w:ascii="Times New Roman" w:hAnsi="Times New Roman" w:eastAsia="宋体"/>
                <w:sz w:val="18"/>
                <w:szCs w:val="18"/>
              </w:rPr>
              <w:t>用热水机组和沐浴设备</w:t>
            </w:r>
            <w:r>
              <w:rPr>
                <w:rFonts w:ascii="宋体" w:hAnsi="宋体" w:eastAsia="宋体" w:cs="宋体"/>
                <w:sz w:val="24"/>
                <w:szCs w:val="24"/>
              </w:rPr>
              <w:br w:type="textWrapping"/>
            </w:r>
          </w:p>
        </w:tc>
        <w:tc>
          <w:tcPr>
            <w:tcW w:w="1019"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70~120</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lang w:val="en-US" w:eastAsia="zh-CN"/>
              </w:rPr>
              <w:t>L/A.d</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0</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4</w:t>
            </w:r>
          </w:p>
        </w:tc>
        <w:tc>
          <w:tcPr>
            <w:tcW w:w="2566"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有大便器、洗脸盆、洗涤盆、洗衣机及其他设备机组或集中供应和沐浴设备</w:t>
            </w:r>
          </w:p>
        </w:tc>
        <w:tc>
          <w:tcPr>
            <w:tcW w:w="1019"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sz w:val="18"/>
                <w:szCs w:val="18"/>
                <w:lang w:val="en-US" w:eastAsia="zh-CN"/>
              </w:rPr>
            </w:pPr>
            <w:r>
              <w:rPr>
                <w:rFonts w:hint="eastAsia" w:ascii="Times New Roman" w:hAnsi="Times New Roman" w:eastAsia="宋体"/>
                <w:sz w:val="18"/>
                <w:szCs w:val="18"/>
                <w:lang w:val="en-US" w:eastAsia="zh-CN"/>
              </w:rPr>
              <w:t>80~140</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lang w:val="en-US" w:eastAsia="zh-CN"/>
              </w:rPr>
              <w:t>L/A.d</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sz w:val="18"/>
                <w:szCs w:val="18"/>
                <w:lang w:val="en-US" w:eastAsia="zh-CN"/>
              </w:rPr>
            </w:pPr>
            <w:r>
              <w:rPr>
                <w:rFonts w:hint="eastAsia" w:ascii="Times New Roman" w:hAnsi="Times New Roman" w:eastAsia="宋体"/>
                <w:sz w:val="18"/>
                <w:szCs w:val="18"/>
                <w:lang w:val="en-US" w:eastAsia="zh-CN"/>
              </w:rPr>
              <w:t>0</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bl>
    <w:p>
      <w:pPr>
        <w:pStyle w:val="4"/>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7" w:name="_Toc61956672"/>
      <w:r>
        <w:rPr>
          <w:rFonts w:hint="eastAsia" w:ascii="Times New Roman" w:hAnsi="Times New Roman" w:eastAsia="宋体"/>
        </w:rPr>
        <w:t>3.2用水量估算</w:t>
      </w:r>
      <w:bookmarkEnd w:id="7"/>
    </w:p>
    <w:p>
      <w:pPr>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ascii="Times New Roman" w:hAnsi="Times New Roman" w:eastAsia="宋体"/>
          <w:sz w:val="24"/>
          <w:szCs w:val="24"/>
        </w:rPr>
        <w:t>各类用水单位数量统计如下：</w:t>
      </w:r>
    </w:p>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Times New Roman" w:hAnsi="Times New Roman" w:eastAsia="宋体"/>
          <w:sz w:val="18"/>
          <w:szCs w:val="18"/>
        </w:rPr>
        <w:t>表 3.2</w:t>
      </w:r>
      <w:r>
        <w:rPr>
          <w:rFonts w:ascii="Times New Roman" w:hAnsi="Times New Roman" w:eastAsia="宋体"/>
          <w:sz w:val="18"/>
          <w:szCs w:val="18"/>
        </w:rPr>
        <w:t xml:space="preserve"> </w:t>
      </w:r>
      <w:r>
        <w:rPr>
          <w:rFonts w:hint="eastAsia" w:ascii="Times New Roman" w:hAnsi="Times New Roman" w:eastAsia="宋体"/>
          <w:sz w:val="18"/>
          <w:szCs w:val="18"/>
        </w:rPr>
        <w:t>各类用水单位数量统计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2280"/>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用水类别</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66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r>
              <w:rPr>
                <w:rFonts w:hint="eastAsia" w:ascii="宋体" w:hAnsi="宋体" w:eastAsia="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办公</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w:t>
            </w:r>
          </w:p>
        </w:tc>
        <w:tc>
          <w:tcPr>
            <w:tcW w:w="166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居住</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w:t>
            </w:r>
          </w:p>
        </w:tc>
        <w:tc>
          <w:tcPr>
            <w:tcW w:w="166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28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绿化</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10907</w:t>
            </w:r>
          </w:p>
        </w:tc>
        <w:tc>
          <w:tcPr>
            <w:tcW w:w="165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立方米</w:t>
            </w:r>
          </w:p>
        </w:tc>
        <w:tc>
          <w:tcPr>
            <w:tcW w:w="166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sz w:val="18"/>
                <w:szCs w:val="18"/>
              </w:rPr>
            </w:pPr>
          </w:p>
        </w:tc>
      </w:tr>
    </w:tbl>
    <w:p>
      <w:pPr>
        <w:pStyle w:val="4"/>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8" w:name="_Toc61956673"/>
      <w:r>
        <w:rPr>
          <w:rFonts w:hint="eastAsia" w:ascii="Times New Roman" w:hAnsi="Times New Roman" w:eastAsia="宋体"/>
        </w:rPr>
        <w:t>4节水策略</w:t>
      </w:r>
      <w:bookmarkEnd w:id="8"/>
    </w:p>
    <w:p>
      <w:pPr>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宋体"/>
          <w:b/>
          <w:bCs/>
          <w:color w:val="000000" w:themeColor="text1"/>
          <w:sz w:val="24"/>
          <w:szCs w:val="18"/>
          <w:highlight w:val="none"/>
          <w14:textFill>
            <w14:solidFill>
              <w14:schemeClr w14:val="tx1"/>
            </w14:solidFill>
          </w14:textFill>
        </w:rPr>
      </w:pPr>
      <w:r>
        <w:rPr>
          <w:rFonts w:ascii="Times New Roman" w:hAnsi="Times New Roman" w:eastAsia="宋体"/>
          <w:b/>
          <w:bCs/>
          <w:color w:val="000000" w:themeColor="text1"/>
          <w:sz w:val="24"/>
          <w:szCs w:val="18"/>
          <w:highlight w:val="none"/>
          <w14:textFill>
            <w14:solidFill>
              <w14:schemeClr w14:val="tx1"/>
            </w14:solidFill>
          </w14:textFill>
        </w:rPr>
        <w:t>结合项目需求，制定节水措施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9" w:name="_Toc61956674"/>
      <w:r>
        <w:rPr>
          <w:rFonts w:hint="eastAsia" w:ascii="宋体" w:hAnsi="宋体" w:eastAsia="宋体" w:cs="宋体"/>
          <w:sz w:val="24"/>
          <w:szCs w:val="24"/>
          <w:lang w:val="en-US" w:eastAsia="zh-CN"/>
        </w:rPr>
        <w:t>1）建立节水专项投入制度：普洱市建立节水专项财政投入制度，加大对城市节水的资金投入力度，确保城市节水专项财政投入占本级财政支出的比例不低于0.5‰，城市节水资金投入占本级财政支出的比例不低于1‰。</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2）推广节水技术和器具：在建筑设计和施工过程中，应优先采用节水型器具和设备，如节水型马桶、节水型淋浴头等，提高用水效率，减少浪费。</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3）加强用水管理：建筑物应建立用水管理制度，定期对用水设备进行检查和维护，确保设备正常运行，防止漏水、滴水等浪费现象的发生。</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4）推广雨水收集利用：在建筑设计和施工过程中，应考虑雨水收集和利用，如设置雨水收集系统、雨水花园等，将雨水用于冲厕、浇灌等用途，减少自来水的使用。</w:t>
      </w:r>
      <w:bookmarkEnd w:id="9"/>
    </w:p>
    <w:p>
      <w:pPr>
        <w:pStyle w:val="4"/>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10" w:name="_Toc61956675"/>
      <w:r>
        <w:rPr>
          <w:rFonts w:hint="eastAsia" w:ascii="Times New Roman" w:hAnsi="Times New Roman" w:eastAsia="宋体"/>
        </w:rPr>
        <w:t>5.1生活给水系统</w:t>
      </w:r>
      <w:bookmarkEnd w:id="10"/>
    </w:p>
    <w:p>
      <w:pPr>
        <w:pageBreakBefore w:val="0"/>
        <w:widowControl w:val="0"/>
        <w:kinsoku/>
        <w:wordWrap/>
        <w:overflowPunct/>
        <w:topLinePunct w:val="0"/>
        <w:autoSpaceDE/>
        <w:autoSpaceDN/>
        <w:bidi w:val="0"/>
        <w:adjustRightInd/>
        <w:snapToGrid/>
        <w:spacing w:line="360" w:lineRule="auto"/>
        <w:ind w:left="60" w:firstLine="360"/>
        <w:textAlignment w:val="auto"/>
        <w:rPr>
          <w:rFonts w:hint="default" w:ascii="Times New Roman" w:hAnsi="Times New Roman" w:eastAsia="宋体"/>
          <w:sz w:val="24"/>
          <w:szCs w:val="18"/>
          <w:lang w:val="en-US" w:eastAsia="zh-CN"/>
        </w:rPr>
      </w:pPr>
      <w:r>
        <w:rPr>
          <w:rFonts w:ascii="Times New Roman" w:hAnsi="Times New Roman" w:eastAsia="宋体"/>
          <w:sz w:val="24"/>
          <w:szCs w:val="18"/>
        </w:rPr>
        <w:t>1）</w:t>
      </w:r>
      <w:r>
        <w:rPr>
          <w:rFonts w:hint="eastAsia" w:ascii="Times New Roman" w:hAnsi="Times New Roman" w:eastAsia="宋体"/>
          <w:sz w:val="24"/>
          <w:szCs w:val="18"/>
        </w:rPr>
        <w:t>水源：</w:t>
      </w:r>
      <w:r>
        <w:rPr>
          <w:rFonts w:hint="eastAsia" w:ascii="Times New Roman" w:hAnsi="Times New Roman" w:eastAsia="宋体"/>
          <w:sz w:val="24"/>
          <w:szCs w:val="18"/>
          <w:lang w:val="en-US" w:eastAsia="zh-CN"/>
        </w:rPr>
        <w:t>市政给水</w:t>
      </w:r>
    </w:p>
    <w:p>
      <w:pPr>
        <w:pageBreakBefore w:val="0"/>
        <w:widowControl w:val="0"/>
        <w:kinsoku/>
        <w:wordWrap/>
        <w:overflowPunct/>
        <w:topLinePunct w:val="0"/>
        <w:autoSpaceDE/>
        <w:autoSpaceDN/>
        <w:bidi w:val="0"/>
        <w:adjustRightInd/>
        <w:snapToGrid/>
        <w:spacing w:line="360" w:lineRule="auto"/>
        <w:ind w:left="60" w:firstLine="360"/>
        <w:textAlignment w:val="auto"/>
        <w:rPr>
          <w:rFonts w:hint="default" w:ascii="Times New Roman" w:hAnsi="Times New Roman" w:eastAsia="宋体"/>
          <w:sz w:val="24"/>
          <w:szCs w:val="18"/>
          <w:lang w:val="en-US" w:eastAsia="zh-CN"/>
        </w:rPr>
      </w:pPr>
      <w:r>
        <w:rPr>
          <w:rFonts w:ascii="Times New Roman" w:hAnsi="Times New Roman" w:eastAsia="宋体"/>
          <w:sz w:val="24"/>
          <w:szCs w:val="18"/>
        </w:rPr>
        <w:t>2）</w:t>
      </w:r>
      <w:r>
        <w:rPr>
          <w:rFonts w:hint="eastAsia" w:ascii="Times New Roman" w:hAnsi="Times New Roman" w:eastAsia="宋体"/>
          <w:sz w:val="24"/>
          <w:szCs w:val="18"/>
        </w:rPr>
        <w:t>供水分区：</w:t>
      </w:r>
      <w:r>
        <w:rPr>
          <w:rFonts w:hint="eastAsia" w:ascii="Times New Roman" w:hAnsi="Times New Roman" w:eastAsia="宋体"/>
          <w:sz w:val="24"/>
          <w:szCs w:val="18"/>
          <w:lang w:val="en-US" w:eastAsia="zh-CN"/>
        </w:rPr>
        <w:t>教学区、展览区、卫生间、行政区。</w:t>
      </w:r>
    </w:p>
    <w:p>
      <w:pPr>
        <w:pageBreakBefore w:val="0"/>
        <w:widowControl w:val="0"/>
        <w:kinsoku/>
        <w:wordWrap/>
        <w:overflowPunct/>
        <w:topLinePunct w:val="0"/>
        <w:autoSpaceDE/>
        <w:autoSpaceDN/>
        <w:bidi w:val="0"/>
        <w:adjustRightInd/>
        <w:snapToGrid/>
        <w:spacing w:line="360" w:lineRule="auto"/>
        <w:ind w:left="60" w:firstLine="360"/>
        <w:textAlignment w:val="auto"/>
        <w:rPr>
          <w:rFonts w:hint="default" w:ascii="Times New Roman" w:hAnsi="Times New Roman" w:eastAsia="宋体"/>
          <w:lang w:val="en-US" w:eastAsia="zh-CN"/>
        </w:rPr>
      </w:pPr>
      <w:r>
        <w:rPr>
          <w:rFonts w:hint="eastAsia" w:ascii="Times New Roman" w:hAnsi="Times New Roman" w:eastAsia="宋体"/>
          <w:sz w:val="24"/>
          <w:szCs w:val="18"/>
        </w:rPr>
        <w:t>3</w:t>
      </w:r>
      <w:r>
        <w:rPr>
          <w:rFonts w:ascii="Times New Roman" w:hAnsi="Times New Roman" w:eastAsia="宋体"/>
          <w:sz w:val="24"/>
          <w:szCs w:val="18"/>
        </w:rPr>
        <w:t>）</w:t>
      </w:r>
      <w:r>
        <w:rPr>
          <w:rFonts w:hint="eastAsia" w:ascii="Times New Roman" w:hAnsi="Times New Roman" w:eastAsia="宋体"/>
          <w:sz w:val="24"/>
          <w:szCs w:val="18"/>
        </w:rPr>
        <w:t>减压措施：</w:t>
      </w:r>
      <w:r>
        <w:rPr>
          <w:rFonts w:hint="eastAsia" w:ascii="Times New Roman" w:hAnsi="Times New Roman" w:eastAsia="宋体"/>
          <w:sz w:val="24"/>
          <w:szCs w:val="18"/>
          <w:lang w:val="en-US" w:eastAsia="zh-CN"/>
        </w:rPr>
        <w:t>安装减压阀、调整管道尺寸、安装水箱、调整用水量。</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11" w:name="_Toc61956676"/>
      <w:r>
        <w:rPr>
          <w:rFonts w:hint="eastAsia" w:ascii="Times New Roman" w:hAnsi="Times New Roman" w:eastAsia="宋体"/>
        </w:rPr>
        <w:t>5.2生活排水系统</w:t>
      </w:r>
      <w:bookmarkEnd w:id="11"/>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heme="minorBidi"/>
          <w:b w:val="0"/>
          <w:bCs w:val="0"/>
          <w:kern w:val="2"/>
          <w:sz w:val="24"/>
          <w:szCs w:val="22"/>
          <w:lang w:val="en-US" w:eastAsia="zh-CN" w:bidi="ar-SA"/>
        </w:rPr>
      </w:pPr>
      <w:bookmarkStart w:id="12" w:name="_Toc61956677"/>
      <w:r>
        <w:rPr>
          <w:rFonts w:hint="eastAsia" w:ascii="Times New Roman" w:hAnsi="Times New Roman" w:eastAsia="宋体" w:cstheme="minorBidi"/>
          <w:b w:val="0"/>
          <w:bCs w:val="0"/>
          <w:kern w:val="2"/>
          <w:sz w:val="24"/>
          <w:szCs w:val="22"/>
          <w:lang w:val="en-US" w:eastAsia="zh-CN" w:bidi="ar-SA"/>
        </w:rPr>
        <w:t>生活排水通过排水管网排送至市中心污水处理厂，合理布局喷淋装置，铺设电路系统，与雨水池连接，形成有效的疏排水系统。</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r>
        <w:rPr>
          <w:rFonts w:hint="eastAsia" w:ascii="Times New Roman" w:hAnsi="Times New Roman" w:eastAsia="宋体"/>
        </w:rPr>
        <w:t>5</w:t>
      </w:r>
      <w:r>
        <w:rPr>
          <w:rFonts w:ascii="Times New Roman" w:hAnsi="Times New Roman" w:eastAsia="宋体"/>
        </w:rPr>
        <w:t>.3</w:t>
      </w:r>
      <w:r>
        <w:rPr>
          <w:rFonts w:hint="eastAsia" w:ascii="Times New Roman" w:hAnsi="Times New Roman" w:eastAsia="宋体"/>
        </w:rPr>
        <w:t>雨水排水系统</w:t>
      </w:r>
      <w:bookmarkEnd w:id="12"/>
    </w:p>
    <w:p>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heme="minorBidi"/>
          <w:b w:val="0"/>
          <w:bCs w:val="0"/>
          <w:kern w:val="2"/>
          <w:sz w:val="24"/>
          <w:szCs w:val="22"/>
          <w:lang w:val="en-US" w:eastAsia="zh-CN" w:bidi="ar-SA"/>
        </w:rPr>
      </w:pPr>
      <w:bookmarkStart w:id="13" w:name="_Toc61956678"/>
      <w:r>
        <w:rPr>
          <w:rFonts w:hint="eastAsia" w:ascii="Times New Roman" w:hAnsi="Times New Roman" w:eastAsia="宋体" w:cstheme="minorBidi"/>
          <w:b w:val="0"/>
          <w:bCs w:val="0"/>
          <w:kern w:val="2"/>
          <w:sz w:val="24"/>
          <w:szCs w:val="22"/>
          <w:lang w:val="en-US" w:eastAsia="zh-CN" w:bidi="ar-SA"/>
        </w:rPr>
        <w:t>本项目排水有檐沟排水和天沟外排水，内排水主要由雨水斗、连接管、悬吊管、立管、排出管、埋地横管、检查井等组成。</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r>
        <w:rPr>
          <w:rFonts w:hint="eastAsia" w:ascii="Times New Roman" w:hAnsi="Times New Roman" w:eastAsia="宋体"/>
        </w:rPr>
        <w:t>5.4管材与配件</w:t>
      </w:r>
      <w:bookmarkEnd w:id="13"/>
    </w:p>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表 5.4 各类用水量估算</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管道名称</w:t>
            </w:r>
          </w:p>
        </w:tc>
        <w:tc>
          <w:tcPr>
            <w:tcW w:w="1382"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安装部位</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管材</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连接方式</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工作压力（MPa）</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消防管道</w:t>
            </w:r>
          </w:p>
        </w:tc>
        <w:tc>
          <w:tcPr>
            <w:tcW w:w="1382"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建筑内部</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金属</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法兰、螺纹等</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0.8~1.2</w:t>
            </w:r>
          </w:p>
        </w:tc>
        <w:tc>
          <w:tcPr>
            <w:tcW w:w="1383"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无</w:t>
            </w:r>
          </w:p>
        </w:tc>
      </w:tr>
    </w:tbl>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heme="minorBidi"/>
          <w:b w:val="0"/>
          <w:bCs w:val="0"/>
          <w:kern w:val="2"/>
          <w:sz w:val="24"/>
          <w:szCs w:val="22"/>
          <w:lang w:val="en-US" w:eastAsia="zh-CN" w:bidi="ar-SA"/>
        </w:rPr>
      </w:pPr>
      <w:bookmarkStart w:id="14" w:name="_Toc61956679"/>
      <w:r>
        <w:rPr>
          <w:rFonts w:hint="eastAsia" w:ascii="Times New Roman" w:hAnsi="Times New Roman" w:eastAsia="宋体" w:cstheme="minorBidi"/>
          <w:b w:val="0"/>
          <w:bCs w:val="0"/>
          <w:kern w:val="2"/>
          <w:sz w:val="24"/>
          <w:szCs w:val="22"/>
          <w:lang w:val="en-US" w:eastAsia="zh-CN" w:bidi="ar-SA"/>
        </w:rPr>
        <w:t>5.5阀门及附件</w:t>
      </w:r>
      <w:bookmarkEnd w:id="1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球阀、闸阀、安全阀。</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15" w:name="_Toc61956680"/>
      <w:r>
        <w:rPr>
          <w:rFonts w:hint="eastAsia" w:ascii="Times New Roman" w:hAnsi="Times New Roman" w:eastAsia="宋体"/>
        </w:rPr>
        <w:t>5.6卫生洁具及附件</w:t>
      </w:r>
      <w:bookmarkEnd w:id="1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坐便器、蹲便器、小便器、洗水台、洗涤池。</w:t>
      </w: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bookmarkStart w:id="16" w:name="_Toc61956681"/>
      <w:r>
        <w:rPr>
          <w:rFonts w:hint="eastAsia" w:ascii="Times New Roman" w:hAnsi="Times New Roman" w:eastAsia="宋体"/>
        </w:rPr>
        <w:t>六、非传统水源利用方案</w:t>
      </w:r>
      <w:bookmarkEnd w:id="16"/>
    </w:p>
    <w:p>
      <w:pPr>
        <w:pStyle w:val="3"/>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heme="minorBidi"/>
          <w:b w:val="0"/>
          <w:bCs w:val="0"/>
          <w:kern w:val="2"/>
          <w:sz w:val="24"/>
          <w:szCs w:val="22"/>
          <w:lang w:val="en-US" w:eastAsia="zh-CN" w:bidi="ar-SA"/>
        </w:rPr>
      </w:pPr>
      <w:bookmarkStart w:id="17" w:name="_Toc61956682"/>
      <w:r>
        <w:rPr>
          <w:rFonts w:hint="eastAsia" w:ascii="Times New Roman" w:hAnsi="Times New Roman" w:eastAsia="宋体" w:cstheme="minorBidi"/>
          <w:b w:val="0"/>
          <w:bCs w:val="0"/>
          <w:kern w:val="2"/>
          <w:sz w:val="24"/>
          <w:szCs w:val="22"/>
          <w:lang w:val="en-US" w:eastAsia="zh-CN" w:bidi="ar-SA"/>
        </w:rPr>
        <w:t>雨水利用：通过建筑安装渗水砖等方式收集雨水，经过相应回收管路对雨水进行收集处理，用于项目区内绿化灌溉、道路冲洗、水景补水等。</w:t>
      </w:r>
    </w:p>
    <w:p>
      <w:pPr>
        <w:pStyle w:val="3"/>
        <w:pageBreakBefore w:val="0"/>
        <w:widowControl w:val="0"/>
        <w:kinsoku/>
        <w:wordWrap/>
        <w:overflowPunct/>
        <w:topLinePunct w:val="0"/>
        <w:autoSpaceDE/>
        <w:autoSpaceDN/>
        <w:bidi w:val="0"/>
        <w:adjustRightInd/>
        <w:snapToGrid/>
        <w:spacing w:before="0" w:after="0" w:line="360" w:lineRule="auto"/>
        <w:textAlignment w:val="auto"/>
        <w:rPr>
          <w:rFonts w:ascii="Times New Roman" w:hAnsi="Times New Roman" w:eastAsia="宋体"/>
        </w:rPr>
      </w:pPr>
      <w:r>
        <w:rPr>
          <w:rFonts w:hint="eastAsia" w:ascii="Times New Roman" w:hAnsi="Times New Roman" w:eastAsia="宋体"/>
        </w:rPr>
        <w:t>七、水量平衡</w:t>
      </w:r>
      <w:bookmarkEnd w:id="17"/>
    </w:p>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表 7-1 水量平衡计算表（单位：m³）</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947"/>
        <w:gridCol w:w="948"/>
        <w:gridCol w:w="948"/>
        <w:gridCol w:w="948"/>
        <w:gridCol w:w="870"/>
        <w:gridCol w:w="870"/>
        <w:gridCol w:w="87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用水类别</w:t>
            </w:r>
          </w:p>
        </w:tc>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年用水量</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非传统水源利用</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新水用水量</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耗水量</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排水量</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污水量</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废水量</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坐便器</w:t>
            </w:r>
          </w:p>
        </w:tc>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200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50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150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200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200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200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洗手台</w:t>
            </w:r>
          </w:p>
        </w:tc>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80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80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80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80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80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洗涤池</w:t>
            </w:r>
          </w:p>
        </w:tc>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50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20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30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50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50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50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消防栓</w:t>
            </w:r>
          </w:p>
        </w:tc>
        <w:tc>
          <w:tcPr>
            <w:tcW w:w="947"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300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300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300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0</w:t>
            </w:r>
          </w:p>
        </w:tc>
        <w:tc>
          <w:tcPr>
            <w:tcW w:w="870"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r>
              <w:rPr>
                <w:rFonts w:hint="eastAsia" w:ascii="Times New Roman" w:hAnsi="Times New Roman" w:eastAsia="宋体" w:cstheme="minorBidi"/>
                <w:b w:val="0"/>
                <w:bCs w:val="0"/>
                <w:kern w:val="2"/>
                <w:sz w:val="24"/>
                <w:szCs w:val="22"/>
                <w:lang w:val="en-US" w:eastAsia="zh-CN" w:bidi="ar-SA"/>
              </w:rPr>
              <w:t>0</w:t>
            </w:r>
          </w:p>
        </w:tc>
        <w:tc>
          <w:tcPr>
            <w:tcW w:w="948" w:type="dxa"/>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heme="minorBidi"/>
                <w:b w:val="0"/>
                <w:bCs w:val="0"/>
                <w:kern w:val="2"/>
                <w:sz w:val="24"/>
                <w:szCs w:val="22"/>
                <w:lang w:val="en-US" w:eastAsia="zh-CN" w:bidi="ar-SA"/>
              </w:rPr>
            </w:pPr>
          </w:p>
        </w:tc>
      </w:tr>
    </w:tbl>
    <w:p>
      <w:pPr>
        <w:rPr>
          <w:rFonts w:ascii="Times New Roman" w:hAnsi="Times New Roman" w:eastAsia="宋体"/>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9187F"/>
    <w:multiLevelType w:val="multilevel"/>
    <w:tmpl w:val="29E9187F"/>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YzU4YzJkNDAwNDBkMjU1ODE3NWZkZjIwMGM5NGYifQ=="/>
  </w:docVars>
  <w:rsids>
    <w:rsidRoot w:val="00636572"/>
    <w:rsid w:val="00033123"/>
    <w:rsid w:val="001C7CE7"/>
    <w:rsid w:val="00242E1E"/>
    <w:rsid w:val="0025039F"/>
    <w:rsid w:val="00251704"/>
    <w:rsid w:val="002832C3"/>
    <w:rsid w:val="00301F1B"/>
    <w:rsid w:val="00336D09"/>
    <w:rsid w:val="00364168"/>
    <w:rsid w:val="003D6020"/>
    <w:rsid w:val="003E624D"/>
    <w:rsid w:val="004F46F2"/>
    <w:rsid w:val="00636572"/>
    <w:rsid w:val="006D31DD"/>
    <w:rsid w:val="006F401D"/>
    <w:rsid w:val="00816E14"/>
    <w:rsid w:val="00874B4B"/>
    <w:rsid w:val="008F701E"/>
    <w:rsid w:val="009A7D34"/>
    <w:rsid w:val="009E4975"/>
    <w:rsid w:val="00A347B5"/>
    <w:rsid w:val="00A51128"/>
    <w:rsid w:val="00AB5301"/>
    <w:rsid w:val="00AC2D5D"/>
    <w:rsid w:val="00B36C54"/>
    <w:rsid w:val="00C73A6B"/>
    <w:rsid w:val="00CC58DE"/>
    <w:rsid w:val="00CF7525"/>
    <w:rsid w:val="00D55D32"/>
    <w:rsid w:val="00EF6029"/>
    <w:rsid w:val="00F103A7"/>
    <w:rsid w:val="00F24C09"/>
    <w:rsid w:val="00FD145B"/>
    <w:rsid w:val="334E2B04"/>
    <w:rsid w:val="35CD25D4"/>
    <w:rsid w:val="36AA130D"/>
    <w:rsid w:val="3D010986"/>
    <w:rsid w:val="3D7E4729"/>
    <w:rsid w:val="40087FFF"/>
    <w:rsid w:val="45631DE6"/>
    <w:rsid w:val="59DB7EFC"/>
    <w:rsid w:val="5B856C33"/>
    <w:rsid w:val="75693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autoRedefine/>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1"/>
    <w:autoRedefine/>
    <w:qFormat/>
    <w:uiPriority w:val="1"/>
    <w:rPr>
      <w:rFonts w:ascii="宋体" w:hAnsi="宋体" w:eastAsia="宋体" w:cs="宋体"/>
      <w:sz w:val="24"/>
      <w:szCs w:val="24"/>
      <w:lang w:val="zh-CN" w:bidi="zh-CN"/>
    </w:rPr>
  </w:style>
  <w:style w:type="paragraph" w:styleId="6">
    <w:name w:val="toc 3"/>
    <w:basedOn w:val="1"/>
    <w:next w:val="1"/>
    <w:autoRedefine/>
    <w:unhideWhenUsed/>
    <w:uiPriority w:val="39"/>
    <w:pPr>
      <w:ind w:left="840" w:leftChars="400"/>
    </w:pPr>
  </w:style>
  <w:style w:type="paragraph" w:styleId="7">
    <w:name w:val="Balloon Text"/>
    <w:basedOn w:val="1"/>
    <w:link w:val="24"/>
    <w:autoRedefine/>
    <w:semiHidden/>
    <w:unhideWhenUsed/>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autoRedefine/>
    <w:unhideWhenUsed/>
    <w:qFormat/>
    <w:uiPriority w:val="39"/>
    <w:pPr>
      <w:ind w:left="420" w:leftChars="200"/>
    </w:p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customStyle="1" w:styleId="15">
    <w:name w:val="标题 2 Char"/>
    <w:basedOn w:val="13"/>
    <w:link w:val="3"/>
    <w:autoRedefine/>
    <w:qFormat/>
    <w:uiPriority w:val="9"/>
    <w:rPr>
      <w:rFonts w:asciiTheme="majorHAnsi" w:hAnsiTheme="majorHAnsi" w:eastAsiaTheme="majorEastAsia" w:cstheme="majorBidi"/>
      <w:b/>
      <w:bCs/>
      <w:sz w:val="32"/>
      <w:szCs w:val="32"/>
    </w:rPr>
  </w:style>
  <w:style w:type="paragraph" w:styleId="16">
    <w:name w:val="List Paragraph"/>
    <w:basedOn w:val="1"/>
    <w:autoRedefine/>
    <w:qFormat/>
    <w:uiPriority w:val="34"/>
    <w:pPr>
      <w:ind w:firstLine="420" w:firstLineChars="200"/>
    </w:pPr>
  </w:style>
  <w:style w:type="character" w:customStyle="1" w:styleId="17">
    <w:name w:val="标题 3 Char"/>
    <w:basedOn w:val="13"/>
    <w:link w:val="4"/>
    <w:autoRedefine/>
    <w:qFormat/>
    <w:uiPriority w:val="9"/>
    <w:rPr>
      <w:b/>
      <w:bCs/>
      <w:sz w:val="32"/>
      <w:szCs w:val="32"/>
    </w:rPr>
  </w:style>
  <w:style w:type="character" w:styleId="18">
    <w:name w:val="Placeholder Text"/>
    <w:basedOn w:val="13"/>
    <w:autoRedefine/>
    <w:semiHidden/>
    <w:qFormat/>
    <w:uiPriority w:val="99"/>
    <w:rPr>
      <w:color w:val="808080"/>
    </w:rPr>
  </w:style>
  <w:style w:type="character" w:customStyle="1" w:styleId="19">
    <w:name w:val="页眉 Char"/>
    <w:basedOn w:val="13"/>
    <w:link w:val="9"/>
    <w:autoRedefine/>
    <w:qFormat/>
    <w:uiPriority w:val="99"/>
    <w:rPr>
      <w:sz w:val="18"/>
      <w:szCs w:val="18"/>
    </w:rPr>
  </w:style>
  <w:style w:type="character" w:customStyle="1" w:styleId="20">
    <w:name w:val="页脚 Char"/>
    <w:basedOn w:val="13"/>
    <w:link w:val="8"/>
    <w:autoRedefine/>
    <w:qFormat/>
    <w:uiPriority w:val="99"/>
    <w:rPr>
      <w:sz w:val="18"/>
      <w:szCs w:val="18"/>
    </w:rPr>
  </w:style>
  <w:style w:type="character" w:customStyle="1" w:styleId="21">
    <w:name w:val="正文文本 Char"/>
    <w:basedOn w:val="13"/>
    <w:link w:val="5"/>
    <w:autoRedefine/>
    <w:qFormat/>
    <w:uiPriority w:val="1"/>
    <w:rPr>
      <w:rFonts w:ascii="宋体" w:hAnsi="宋体" w:eastAsia="宋体" w:cs="宋体"/>
      <w:sz w:val="24"/>
      <w:szCs w:val="24"/>
      <w:lang w:val="zh-CN" w:bidi="zh-CN"/>
    </w:rPr>
  </w:style>
  <w:style w:type="character" w:customStyle="1" w:styleId="22">
    <w:name w:val="标题 1 Char"/>
    <w:basedOn w:val="13"/>
    <w:link w:val="2"/>
    <w:autoRedefine/>
    <w:qFormat/>
    <w:uiPriority w:val="9"/>
    <w:rPr>
      <w:b/>
      <w:bCs/>
      <w:kern w:val="44"/>
      <w:sz w:val="44"/>
      <w:szCs w:val="44"/>
    </w:rPr>
  </w:style>
  <w:style w:type="paragraph" w:customStyle="1" w:styleId="23">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4">
    <w:name w:val="批注框文本 Char"/>
    <w:basedOn w:val="13"/>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B325B-CA9D-4246-98C5-FF00D04AF209}">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2605</Words>
  <Characters>2846</Characters>
  <Lines>28</Lines>
  <Paragraphs>7</Paragraphs>
  <TotalTime>7</TotalTime>
  <ScaleCrop>false</ScaleCrop>
  <LinksUpToDate>false</LinksUpToDate>
  <CharactersWithSpaces>3431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2021-11-17T06:47:00Z</dcterms:created>
  <dc:creator>Administrator</dc:creator>
  <cp:lastModifiedBy>幻想者</cp:lastModifiedBy>
  <dcterms:modified xsi:type="dcterms:W3CDTF">2024-03-09T02:14:57Z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4C8CC36EE4454F778F5729A51D884368_13</vt:lpwstr>
  </property>
</Properties>
</file>