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
<Relationships xmlns="http://schemas.openxmlformats.org/package/2006/relationships">
    <Relationship Target="word/document.xml" Type="http://schemas.openxmlformats.org/officeDocument/2006/relationships/officeDocument" Id="rId1"/>
    <Relationship Target="docProps/core.xml" Type="http://schemas.openxmlformats.org/package/2006/relationships/metadata/core-properties" Id="rId2"/>
    <Relationship Target="docProps/app.xml" Type="http://schemas.openxmlformats.org/officeDocument/2006/relationships/extended-properties" Id="rId3"/>
</Relationships>

</file>

<file path=word/document.xml><?xml version="1.0" encoding="utf-8"?>
<w:document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body>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44"/>
          <w:szCs w:val="44"/>
        </w:rPr>
        <w:t>绿色建筑评价标识</w:t>
      </w:r>
    </w:p>
    <w:p>
      <w:pPr>
        <w:jc w:val="center"/>
      </w:pPr>
      <w:r>
        <w:rPr>
          <w:rFonts w:hint="eastAsia" w:ascii="宋体" w:hAnsi="宋体"/>
          <w:b/>
          <w:bCs/>
          <w:color w:val="000000"/>
          <w:sz w:val="44"/>
          <w:szCs w:val="44"/>
        </w:rPr>
        <w:t>自评估报告</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3000" w:type="dxa"/>
            <w:vAlign w:val="center"/>
          </w:tcPr>
          <w:p>
            <w:pPr>
              <w:spacing w:before="200" w:after="200" w:lineRule="auto"/>
              <w:jc w:val="left"/>
            </w:pPr>
            <w:r>
              <w:rPr>
                <w:rFonts w:hint="eastAsia" w:ascii="宋体" w:hAnsi="宋体"/>
                <w:bCs/>
                <w:color w:val="000000"/>
                <w:sz w:val="30"/>
                <w:szCs w:val="30"/>
              </w:rPr>
              <w:t>申报项目名称：</w:t>
            </w:r>
          </w:p>
        </w:tc>
        <w:tc>
          <w:tcPr>
            <w:tcW w:w="2000" w:type="dxa"/>
            <w:hMerge w:val="restart"/>
            <w:vAlign w:val="center"/>
          </w:tcPr>
          <w:p>
            <w:pPr>
              <w:spacing w:before="200" w:after="200" w:lineRule="auto"/>
              <w:jc w:val="left"/>
            </w:pPr>
            <w:r>
              <w:rPr>
                <w:rFonts w:hint="eastAsia" w:ascii="宋体" w:hAnsi="宋体"/>
                <w:bCs/>
                <w:color w:val="000000"/>
                <w:sz w:val="30"/>
                <w:szCs w:val="30"/>
              </w:rPr>
              <w:t>111</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申报单位名称：</w:t>
            </w:r>
          </w:p>
        </w:tc>
        <w:tc>
          <w:tcPr>
            <w:tcW w:w="2000" w:type="dxa"/>
            <w:hMerge w:val="restart"/>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建筑类型：</w:t>
            </w:r>
          </w:p>
        </w:tc>
        <w:tc>
          <w:tcPr>
            <w:tcW w:w="2000" w:type="dxa"/>
            <w:hMerge w:val="restart"/>
            <w:vAlign w:val="center"/>
          </w:tcPr>
          <w:p>
            <w:pPr>
              <w:spacing w:before="200" w:after="200" w:lineRule="auto"/>
              <w:jc w:val="left"/>
            </w:pPr>
            <w:r>
              <w:rPr>
                <w:rFonts w:hint="eastAsia" w:ascii="宋体" w:hAnsi="宋体"/>
                <w:bCs/>
                <w:color w:val="000000"/>
                <w:sz w:val="30"/>
                <w:szCs w:val="30"/>
              </w:rPr>
              <w:t>公共建筑</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r>
        <w:tc>
          <w:tcPr>
            <w:tcW w:w="3000" w:type="dxa"/>
            <w:vAlign w:val="center"/>
          </w:tcPr>
          <w:p>
            <w:pPr>
              <w:spacing w:before="200" w:after="200" w:lineRule="auto"/>
              <w:jc w:val="left"/>
            </w:pPr>
            <w:r>
              <w:rPr>
                <w:rFonts w:hint="eastAsia" w:ascii="宋体" w:hAnsi="宋体"/>
                <w:bCs/>
                <w:color w:val="000000"/>
                <w:sz w:val="30"/>
                <w:szCs w:val="30"/>
              </w:rPr>
              <w:t>自评星级：</w:t>
            </w:r>
          </w:p>
        </w:tc>
        <w:tc>
          <w:tcPr>
            <w:tcW w:w="2000" w:type="dxa"/>
            <w:vAlign w:val="center"/>
          </w:tcPr>
          <w:p>
            <w:pPr>
              <w:spacing w:before="200" w:after="200" w:lineRule="auto"/>
              <w:jc w:val="left"/>
            </w:pPr>
            <w:r>
              <w:rPr>
                <w:rFonts w:hint="eastAsia" w:ascii="宋体" w:hAnsi="宋体"/>
                <w:bCs/>
                <w:color w:val="000000"/>
                <w:sz w:val="30"/>
                <w:szCs w:val="30"/>
              </w:rPr>
              <w:t>★★★</w:t>
            </w:r>
          </w:p>
        </w:tc>
        <w:tc>
          <w:tcPr>
            <w:tcW w:w="2000" w:type="dxa"/>
            <w:vAlign w:val="center"/>
          </w:tcPr>
          <w:p>
            <w:pPr>
              <w:spacing w:before="200" w:after="200" w:lineRule="auto"/>
              <w:jc w:val="left"/>
            </w:pPr>
            <w:r>
              <w:rPr>
                <w:rFonts w:hint="eastAsia" w:ascii="宋体" w:hAnsi="宋体"/>
                <w:bCs/>
                <w:color w:val="000000"/>
                <w:sz w:val="30"/>
                <w:szCs w:val="30"/>
              </w:rPr>
              <w:t>分数：</w:t>
            </w:r>
          </w:p>
        </w:tc>
        <w:tc>
          <w:tcPr>
            <w:tcW w:w="2000" w:type="dxa"/>
            <w:vAlign w:val="center"/>
          </w:tcPr>
          <w:p>
            <w:pPr>
              <w:spacing w:before="200" w:after="200" w:lineRule="auto"/>
              <w:jc w:val="left"/>
            </w:pPr>
            <w:r>
              <w:rPr>
                <w:rFonts w:hint="eastAsia" w:ascii="宋体" w:hAnsi="宋体"/>
                <w:bCs/>
                <w:color w:val="000000"/>
                <w:sz w:val="30"/>
                <w:szCs w:val="30"/>
              </w:rPr>
              <w:t>107.3</w:t>
            </w:r>
          </w:p>
        </w:tc>
      </w:tr>
      <w:tr>
        <w:tc>
          <w:tcPr>
            <w:tcW w:w="3000" w:type="dxa"/>
            <w:vAlign w:val="center"/>
          </w:tcPr>
          <w:p>
            <w:pPr>
              <w:spacing w:before="200" w:after="200" w:lineRule="auto"/>
              <w:jc w:val="left"/>
            </w:pPr>
            <w:r>
              <w:rPr>
                <w:rFonts w:hint="eastAsia" w:ascii="宋体" w:hAnsi="宋体"/>
                <w:bCs/>
                <w:color w:val="000000"/>
                <w:sz w:val="30"/>
                <w:szCs w:val="30"/>
              </w:rPr>
              <w:t>自评依据：</w:t>
            </w:r>
          </w:p>
        </w:tc>
        <w:tc>
          <w:tcPr>
            <w:tcW w:w="2000" w:type="dxa"/>
            <w:hMerge w:val="restart"/>
            <w:vAlign w:val="center"/>
          </w:tcPr>
          <w:p>
            <w:pPr>
              <w:spacing w:before="200" w:after="200" w:lineRule="auto"/>
              <w:jc w:val="left"/>
            </w:pPr>
            <w:r>
              <w:rPr>
                <w:rFonts w:hint="eastAsia" w:ascii="宋体" w:hAnsi="宋体"/>
                <w:bCs/>
                <w:color w:val="000000"/>
                <w:sz w:val="30"/>
                <w:szCs w:val="30"/>
              </w:rPr>
              <w:t>《绿色建筑评价标准》GB/T 50378-2019</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c>
          <w:tcPr>
            <w:tcW w:w="2000" w:type="dxa"/>
            <w:hMerge w:val="continue"/>
            <w:vAlign w:val="center"/>
          </w:tcPr>
          <w:p>
            <w:pPr>
              <w:spacing w:before="200" w:after="200" w:lineRule="auto"/>
              <w:jc w:val="left"/>
            </w:pPr>
            <w:r>
              <w:rPr>
                <w:rFonts w:hint="eastAsia" w:ascii="宋体" w:hAnsi="宋体"/>
                <w:bCs/>
                <w:color w:val="000000"/>
                <w:sz w:val="30"/>
                <w:szCs w:val="30"/>
              </w:rPr>
              <w:t/>
            </w:r>
          </w:p>
        </w:tc>
      </w:tr>
    </w:tbl>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2"/>
          <w:szCs w:val="32"/>
        </w:rPr>
        <w:t>住房和城乡建设部科技与产业化发展中心  组织编制</w:t>
      </w:r>
    </w:p>
    <w:p>
      <w:pPr>
        <w:jc w:val="center"/>
      </w:pPr>
      <w:r>
        <w:rPr>
          <w:rFonts w:hint="eastAsia" w:ascii="宋体" w:hAnsi="宋体"/>
          <w:b/>
          <w:bCs/>
          <w:color w:val="000000"/>
          <w:sz w:val="32"/>
          <w:szCs w:val="32"/>
        </w:rPr>
        <w:t>2019年7月</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
      </w:r>
    </w:p>
    <w:p>
      <w:pPr>
        <w:jc w:val="center"/>
      </w:pPr>
      <w:r>
        <w:rPr>
          <w:rFonts w:hint="eastAsia" w:ascii="宋体" w:hAnsi="宋体"/>
          <w:b/>
          <w:bCs/>
          <w:color w:val="000000"/>
          <w:sz w:val="36"/>
          <w:szCs w:val="36"/>
        </w:rPr>
        <w:t>填写说明</w:t>
      </w:r>
    </w:p>
    <w:p>
      <w:pPr>
        <w:jc w:val="left"/>
      </w:pPr>
      <w:r>
        <w:rPr>
          <w:rFonts w:hint="eastAsia" w:ascii="宋体" w:hAnsi="宋体"/>
          <w:bCs/>
          <w:color w:val="000000"/>
          <w:sz w:val="30"/>
          <w:szCs w:val="30"/>
        </w:rPr>
        <w:t>1、本报告适用于申报绿色建筑的民用建筑，由申报单位填写；</w:t>
      </w:r>
    </w:p>
    <w:p>
      <w:pPr>
        <w:jc w:val="left"/>
      </w:pPr>
      <w:r>
        <w:rPr>
          <w:rFonts w:hint="eastAsia" w:ascii="宋体" w:hAnsi="宋体"/>
          <w:bCs/>
          <w:color w:val="000000"/>
          <w:sz w:val="30"/>
          <w:szCs w:val="30"/>
        </w:rPr>
        <w:t>2、“达标判定”项的填写方式：满足要求的项在□中填写“√”；不满足要求的项在□中填写“×”。</w:t>
      </w:r>
    </w:p>
    <w:p>
      <w:pPr>
        <w:jc w:val="left"/>
      </w:pPr>
      <w:r>
        <w:rPr>
          <w:rFonts w:hint="eastAsia" w:ascii="宋体" w:hAnsi="宋体"/>
          <w:bCs/>
          <w:color w:val="000000"/>
          <w:sz w:val="30"/>
          <w:szCs w:val="30"/>
        </w:rPr>
        <w:t>3.“实际提交材料”中列表填写对应条文实际提交的材料的全称。</w:t>
      </w:r>
    </w:p>
    <w:p>
      <w:pPr>
        <w:jc w:val="left"/>
      </w:pPr>
      <w:r>
        <w:rPr>
          <w:rFonts w:hint="eastAsia" w:ascii="宋体" w:hAnsi="宋体"/>
          <w:bCs/>
          <w:color w:val="000000"/>
          <w:sz w:val="30"/>
          <w:szCs w:val="30"/>
        </w:rPr>
        <w:t>4. 本报告封面的“申报项目名称”、“申报单位名称”、“参与单位名称”请务必认真、仔细填写，并与申报书保持一致，如因笔误造成评审或证书制作问题，后果自负。</w:t>
      </w:r>
    </w:p>
    <w:p>
      <w:pPr>
        <w:jc w:val="left"/>
      </w:pPr>
      <w:r>
        <w:rPr>
          <w:rFonts w:hint="eastAsia" w:ascii="宋体" w:hAnsi="宋体"/>
          <w:bCs/>
          <w:color w:val="000000"/>
          <w:sz w:val="30"/>
          <w:szCs w:val="30"/>
        </w:rPr>
        <w:t>5.若采用本报告参考样式，可进行编辑性修改，但不应自行删除技术内容和要求。</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pPr>
        <w:jc w:val="left"/>
      </w:pPr>
      <w:r>
        <w:rPr>
          <w:rFonts w:hint="eastAsia" w:ascii="宋体" w:hAnsi="宋体"/>
          <w:bCs/>
          <w:color w:val="000000"/>
          <w:sz w:val="30"/>
          <w:szCs w:val="30"/>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一、自评总述</w:t>
      </w:r>
    </w:p>
    <w:p>
      <w:pPr>
        <w:jc w:val="left"/>
      </w:pPr>
      <w:r>
        <w:rPr>
          <w:rFonts w:hint="eastAsia" w:ascii="宋体" w:hAnsi="宋体"/>
          <w:bCs/>
          <w:color w:val="000000"/>
          <w:sz w:val="24"/>
          <w:szCs w:val="24"/>
        </w:rPr>
        <w:t xml:space="preserve">     项目控制项全部达标，满足3.2.8条中绿色建筑技术要求，同时总得分达到60分、70分、85分时，绿色建筑等级  分别为一星级、二星级、三星级。经自评估，本项目的控制项全部达标，绿色建筑技术要求满足　3　星级要求且每类指标评分项得分不小于其评分项的满分值的30%（见表1），评分项与加分项的加权总得分达到　3　星级的标准。各章节得分情况见表2：</w:t>
      </w:r>
    </w:p>
    <w:p>
      <w:pPr>
        <w:jc w:val="center"/>
      </w:pPr>
      <w:r>
        <w:rPr>
          <w:rFonts w:hint="eastAsia" w:ascii="宋体" w:hAnsi="宋体"/>
          <w:bCs/>
          <w:color w:val="000000"/>
          <w:sz w:val="24"/>
          <w:szCs w:val="24"/>
        </w:rPr>
        <w:t>表1 GB/T 50378表3.2.8</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2600" w:type="dxa"/>
            <w:shd w:color="auto" w:fill="D9D9D9"/>
            <w:vAlign w:val="center"/>
          </w:tcPr>
          <w:p>
            <w:pPr>
              <w:spacing w:before="0" w:after="3" w:lineRule="auto"/>
              <w:jc w:val="center"/>
            </w:pPr>
            <w:r>
              <w:rPr>
                <w:rFonts w:hint="eastAsia" w:ascii="宋体" w:hAnsi="宋体"/>
                <w:bCs/>
                <w:color w:val="000000"/>
                <w:sz w:val="22"/>
                <w:szCs w:val="22"/>
              </w:rPr>
              <w:t>-</w:t>
            </w:r>
          </w:p>
        </w:tc>
        <w:tc>
          <w:tcPr>
            <w:tcW w:w="2300" w:type="dxa"/>
            <w:shd w:color="auto" w:fill="D9D9D9"/>
            <w:vAlign w:val="center"/>
          </w:tcPr>
          <w:p>
            <w:pPr>
              <w:spacing w:before="0" w:after="3" w:lineRule="auto"/>
              <w:jc w:val="center"/>
            </w:pPr>
            <w:r>
              <w:rPr>
                <w:rFonts w:hint="eastAsia" w:ascii="宋体" w:hAnsi="宋体"/>
                <w:bCs/>
                <w:color w:val="000000"/>
                <w:sz w:val="22"/>
                <w:szCs w:val="22"/>
              </w:rPr>
              <w:t>一星级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二星级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三星级</w:t>
            </w:r>
          </w:p>
        </w:tc>
        <w:tc>
          <w:tcPr>
            <w:tcW w:w="2300" w:type="dxa"/>
            <w:shd w:color="auto" w:fill="D9D9D9"/>
            <w:vAlign w:val="center"/>
          </w:tcPr>
          <w:p>
            <w:pPr>
              <w:spacing w:before="0" w:after="3" w:lineRule="auto"/>
              <w:jc w:val="center"/>
            </w:pPr>
            <w:r>
              <w:rPr>
                <w:rFonts w:hint="eastAsia" w:ascii="宋体" w:hAnsi="宋体"/>
                <w:bCs/>
                <w:color w:val="000000"/>
                <w:sz w:val="22"/>
                <w:szCs w:val="22"/>
              </w:rPr>
              <w:t>自评情况</w:t>
            </w:r>
          </w:p>
        </w:tc>
      </w:tr>
      <w:tr>
        <w:tc>
          <w:tcPr>
            <w:tcW w:w="2600" w:type="dxa"/>
            <w:shd w:color="auto" w:fill="D9D9D9"/>
            <w:vAlign w:val="center"/>
          </w:tcPr>
          <w:p>
            <w:pPr>
              <w:spacing w:before="0" w:after="3" w:lineRule="auto"/>
              <w:jc w:val="center"/>
            </w:pPr>
            <w:r>
              <w:rPr>
                <w:rFonts w:hint="eastAsia" w:ascii="宋体" w:hAnsi="宋体"/>
                <w:bCs/>
                <w:color w:val="000000"/>
                <w:sz w:val="22"/>
                <w:szCs w:val="22"/>
              </w:rPr>
              <w:t>采用全装修</w:t>
            </w:r>
          </w:p>
        </w:tc>
        <w:tc>
          <w:tcPr>
            <w:tcW w:w="2300" w:type="dxa"/>
            <w:hMerge w:val="restart"/>
            <w:vAlign w:val="center"/>
          </w:tcPr>
          <w:p>
            <w:pPr>
              <w:spacing w:before="0" w:after="3" w:lineRule="auto"/>
              <w:jc w:val="center"/>
            </w:pPr>
            <w:r>
              <w:rPr>
                <w:rFonts w:hint="eastAsia" w:ascii="宋体" w:hAnsi="宋体"/>
                <w:bCs/>
                <w:color w:val="000000"/>
                <w:sz w:val="22"/>
                <w:szCs w:val="22"/>
              </w:rPr>
              <w:t>一星级、二星级、三星级3个等级的绿色建筑均应进行全装修</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hMerge w:val="continue"/>
            <w:vAlign w:val="center"/>
          </w:tcPr>
          <w:p>
            <w:pPr>
              <w:spacing w:before="0" w:after="3" w:lineRule="auto"/>
              <w:jc w:val="center"/>
            </w:pPr>
            <w:r>
              <w:rPr>
                <w:rFonts w:hint="eastAsia" w:ascii="宋体" w:hAnsi="宋体"/>
                <w:bCs/>
                <w:color w:val="000000"/>
                <w:sz w:val="22"/>
                <w:szCs w:val="22"/>
              </w:rPr>
              <w:t/>
            </w:r>
          </w:p>
        </w:tc>
        <w:tc>
          <w:tcPr>
            <w:tcW w:w="23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围护结构热工性能的提高比例，或建筑供暖空调负荷降低比例</w:t>
            </w:r>
          </w:p>
        </w:tc>
        <w:tc>
          <w:tcPr>
            <w:tcW w:w="1200" w:type="dxa"/>
            <w:vAlign w:val="center"/>
          </w:tcPr>
          <w:p>
            <w:pPr>
              <w:spacing w:before="0" w:after="3" w:lineRule="auto"/>
              <w:jc w:val="center"/>
            </w:pPr>
            <w:r>
              <w:rPr>
                <w:rFonts w:hint="eastAsia" w:ascii="宋体" w:hAnsi="宋体"/>
                <w:bCs/>
                <w:color w:val="000000"/>
                <w:sz w:val="22"/>
                <w:szCs w:val="22"/>
              </w:rPr>
              <w:t>围护结构提高5%，或负荷降低5%</w:t>
            </w:r>
          </w:p>
        </w:tc>
        <w:tc>
          <w:tcPr>
            <w:tcW w:w="1200" w:type="dxa"/>
            <w:vAlign w:val="center"/>
          </w:tcPr>
          <w:p>
            <w:pPr>
              <w:spacing w:before="0" w:after="3" w:lineRule="auto"/>
              <w:jc w:val="center"/>
            </w:pPr>
            <w:r>
              <w:rPr>
                <w:rFonts w:hint="eastAsia" w:ascii="宋体" w:hAnsi="宋体"/>
                <w:bCs/>
                <w:color w:val="000000"/>
                <w:sz w:val="22"/>
                <w:szCs w:val="22"/>
              </w:rPr>
              <w:t>围护结构提高10%，或负荷降低10%</w:t>
            </w:r>
          </w:p>
        </w:tc>
        <w:tc>
          <w:tcPr>
            <w:tcW w:w="1200" w:type="dxa"/>
            <w:vAlign w:val="center"/>
          </w:tcPr>
          <w:p>
            <w:pPr>
              <w:spacing w:before="0" w:after="3" w:lineRule="auto"/>
              <w:jc w:val="center"/>
            </w:pPr>
            <w:r>
              <w:rPr>
                <w:rFonts w:hint="eastAsia" w:ascii="宋体" w:hAnsi="宋体"/>
                <w:bCs/>
                <w:color w:val="000000"/>
                <w:sz w:val="22"/>
                <w:szCs w:val="22"/>
              </w:rPr>
              <w:t>围护结构提高20%，或负荷降低15%</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严寒和寒冷地区住宅建筑外窗传热系数降低比例</w:t>
            </w:r>
          </w:p>
        </w:tc>
        <w:tc>
          <w:tcPr>
            <w:tcW w:w="1200" w:type="dxa"/>
            <w:vAlign w:val="center"/>
          </w:tcPr>
          <w:p>
            <w:pPr>
              <w:spacing w:before="0" w:after="3" w:lineRule="auto"/>
              <w:jc w:val="center"/>
            </w:pPr>
            <w:r>
              <w:rPr>
                <w:rFonts w:hint="eastAsia" w:ascii="宋体" w:hAnsi="宋体"/>
                <w:bCs/>
                <w:color w:val="000000"/>
                <w:sz w:val="22"/>
                <w:szCs w:val="22"/>
              </w:rPr>
              <w:t>5%</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vAlign w:val="center"/>
          </w:tcPr>
          <w:p>
            <w:pPr>
              <w:spacing w:before="0" w:after="3" w:lineRule="auto"/>
              <w:jc w:val="center"/>
            </w:pPr>
            <w:r>
              <w:rPr>
                <w:rFonts w:hint="eastAsia" w:ascii="宋体" w:hAnsi="宋体"/>
                <w:bCs/>
                <w:color w:val="000000"/>
                <w:sz w:val="22"/>
                <w:szCs w:val="22"/>
              </w:rPr>
              <w:t>20%</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节水器具用水效率等级</w:t>
            </w:r>
          </w:p>
        </w:tc>
        <w:tc>
          <w:tcPr>
            <w:tcW w:w="1200" w:type="dxa"/>
            <w:vAlign w:val="center"/>
          </w:tcPr>
          <w:p>
            <w:pPr>
              <w:spacing w:before="0" w:after="3" w:lineRule="auto"/>
              <w:jc w:val="center"/>
            </w:pPr>
            <w:r>
              <w:rPr>
                <w:rFonts w:hint="eastAsia" w:ascii="宋体" w:hAnsi="宋体"/>
                <w:bCs/>
                <w:color w:val="000000"/>
                <w:sz w:val="22"/>
                <w:szCs w:val="22"/>
              </w:rPr>
              <w:t>3级</w:t>
            </w:r>
          </w:p>
        </w:tc>
        <w:tc>
          <w:tcPr>
            <w:tcW w:w="1200" w:type="dxa"/>
            <w:hMerge w:val="restart"/>
            <w:vAlign w:val="center"/>
          </w:tcPr>
          <w:p>
            <w:pPr>
              <w:spacing w:before="0" w:after="3" w:lineRule="auto"/>
              <w:jc w:val="center"/>
            </w:pPr>
            <w:r>
              <w:rPr>
                <w:rFonts w:hint="eastAsia" w:ascii="宋体" w:hAnsi="宋体"/>
                <w:bCs/>
                <w:color w:val="000000"/>
                <w:sz w:val="22"/>
                <w:szCs w:val="22"/>
              </w:rPr>
              <w:t>2级</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住宅建筑隔声性能</w:t>
            </w:r>
          </w:p>
        </w:tc>
        <w:tc>
          <w:tcPr>
            <w:tcW w:w="1200" w:type="dxa"/>
            <w:vAlign w:val="center"/>
          </w:tcPr>
          <w:p>
            <w:pPr>
              <w:spacing w:before="0" w:after="3" w:lineRule="auto"/>
              <w:jc w:val="center"/>
            </w:pPr>
            <w:r>
              <w:rPr>
                <w:rFonts w:hint="eastAsia" w:ascii="宋体" w:hAnsi="宋体"/>
                <w:bCs/>
                <w:color w:val="000000"/>
                <w:sz w:val="22"/>
                <w:szCs w:val="22"/>
              </w:rPr>
              <w:t>/</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室外与卧室之间、分户墙（楼板）两侧卧室之间的空气声隔声性能以及卧室楼板的撞击声隔声性能达到低限标准限值和高要求标准限值的平均值</w:t>
            </w:r>
          </w:p>
        </w:tc>
        <w:tc>
          <w:tcPr>
            <w:tcW w:w="1200" w:type="dxa"/>
            <w:vAlign w:val="center"/>
          </w:tcPr>
          <w:p>
            <w:pPr>
              <w:spacing w:before="0" w:after="3" w:lineRule="auto"/>
              <w:jc w:val="center"/>
            </w:pPr>
            <w:r>
              <w:rPr>
                <w:rFonts w:hint="eastAsia" w:ascii="宋体" w:hAnsi="宋体"/>
                <w:bCs/>
                <w:color w:val="000000"/>
                <w:sz w:val="22"/>
                <w:szCs w:val="22"/>
              </w:rPr>
              <w:t>室外与卧室之间、分户墙（楼板）两侧卧室之间的空气声隔声性能以及卧室楼板的撞击声隔声性能达到高要求标准限值</w:t>
            </w:r>
          </w:p>
        </w:tc>
        <w:tc>
          <w:tcPr>
            <w:tcW w:w="1200" w:type="dxa"/>
            <w:vAlign w:val="center"/>
          </w:tcPr>
          <w:p>
            <w:pPr>
              <w:spacing w:before="0" w:after="3" w:lineRule="auto"/>
              <w:jc w:val="center"/>
            </w:pPr>
            <w:r>
              <w:rPr>
                <w:rFonts w:hint="eastAsia" w:ascii="宋体" w:hAnsi="宋体"/>
                <w:bCs/>
                <w:color w:val="000000"/>
                <w:sz w:val="22"/>
                <w:szCs w:val="22"/>
              </w:rPr>
              <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室内主要空气污染物浓度降低比例</w:t>
            </w:r>
          </w:p>
        </w:tc>
        <w:tc>
          <w:tcPr>
            <w:tcW w:w="1200" w:type="dxa"/>
            <w:vAlign w:val="center"/>
          </w:tcPr>
          <w:p>
            <w:pPr>
              <w:spacing w:before="0" w:after="3" w:lineRule="auto"/>
              <w:jc w:val="center"/>
            </w:pPr>
            <w:r>
              <w:rPr>
                <w:rFonts w:hint="eastAsia" w:ascii="宋体" w:hAnsi="宋体"/>
                <w:bCs/>
                <w:color w:val="000000"/>
                <w:sz w:val="22"/>
                <w:szCs w:val="22"/>
              </w:rPr>
              <w:t>10%</w:t>
            </w:r>
          </w:p>
        </w:tc>
        <w:tc>
          <w:tcPr>
            <w:tcW w:w="1200" w:type="dxa"/>
            <w:hMerge w:val="restart"/>
            <w:vAlign w:val="center"/>
          </w:tcPr>
          <w:p>
            <w:pPr>
              <w:spacing w:before="0" w:after="3" w:lineRule="auto"/>
              <w:jc w:val="center"/>
            </w:pPr>
            <w:r>
              <w:rPr>
                <w:rFonts w:hint="eastAsia" w:ascii="宋体" w:hAnsi="宋体"/>
                <w:bCs/>
                <w:color w:val="000000"/>
                <w:sz w:val="22"/>
                <w:szCs w:val="22"/>
              </w:rPr>
              <w:t>20%</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r>
        <w:tc>
          <w:tcPr>
            <w:tcW w:w="1" w:type="dxa"/>
            <w:shd w:color="auto" w:fill="D9D9D9"/>
            <w:vAlign w:val="center"/>
          </w:tcPr>
          <w:p>
            <w:pPr>
              <w:spacing w:before="0" w:after="3" w:lineRule="auto"/>
              <w:jc w:val="center"/>
            </w:pPr>
            <w:r>
              <w:rPr>
                <w:rFonts w:hint="eastAsia" w:ascii="宋体" w:hAnsi="宋体"/>
                <w:bCs/>
                <w:color w:val="000000"/>
                <w:sz w:val="22"/>
                <w:szCs w:val="22"/>
              </w:rPr>
              <w:t>外窗气密性能</w:t>
            </w:r>
          </w:p>
        </w:tc>
        <w:tc>
          <w:tcPr>
            <w:tcW w:w="1200" w:type="dxa"/>
            <w:hMerge w:val="restart"/>
            <w:vAlign w:val="center"/>
          </w:tcPr>
          <w:p>
            <w:pPr>
              <w:spacing w:before="0" w:after="3" w:lineRule="auto"/>
              <w:jc w:val="center"/>
            </w:pPr>
            <w:r>
              <w:rPr>
                <w:rFonts w:hint="eastAsia" w:ascii="宋体" w:hAnsi="宋体"/>
                <w:bCs/>
                <w:color w:val="000000"/>
                <w:sz w:val="22"/>
                <w:szCs w:val="22"/>
              </w:rPr>
              <w:t>符合国家现行相关节能设计标准的规定，且外窗洞口与外窗本体的结合部位应严密</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hMerge w:val="continue"/>
            <w:vAlign w:val="center"/>
          </w:tcPr>
          <w:p>
            <w:pPr>
              <w:spacing w:before="0" w:after="3" w:lineRule="auto"/>
              <w:jc w:val="center"/>
            </w:pPr>
            <w:r>
              <w:rPr>
                <w:rFonts w:hint="eastAsia" w:ascii="宋体" w:hAnsi="宋体"/>
                <w:bCs/>
                <w:color w:val="000000"/>
                <w:sz w:val="22"/>
                <w:szCs w:val="22"/>
              </w:rPr>
              <w:t/>
            </w:r>
          </w:p>
        </w:tc>
        <w:tc>
          <w:tcPr>
            <w:tcW w:w="1200" w:type="dxa"/>
            <w:vAlign w:val="center"/>
          </w:tcPr>
          <w:p>
            <w:pPr>
              <w:spacing w:before="0" w:after="3" w:lineRule="auto"/>
              <w:jc w:val="center"/>
            </w:pPr>
            <w:r>
              <w:rPr>
                <w:rFonts w:hint="eastAsia" w:ascii="宋体" w:hAnsi="宋体"/>
                <w:bCs/>
                <w:color w:val="000000"/>
                <w:sz w:val="22"/>
                <w:szCs w:val="22"/>
              </w:rPr>
              <w:t>√</w:t>
            </w:r>
          </w:p>
        </w:tc>
      </w:tr>
    </w:tbl>
    <w:p>
      <w:pPr>
        <w:jc w:val="left"/>
      </w:pPr>
      <w:r>
        <w:rPr>
          <w:rFonts w:hint="eastAsia" w:ascii="宋体" w:hAnsi="宋体"/>
          <w:bCs/>
          <w:color w:val="000000"/>
          <w:sz w:val="22"/>
          <w:szCs w:val="22"/>
        </w:rPr>
        <w:t xml:space="preserve">注：1 围护结构热工性能的提高基准、严寒和寒冷地区住宅建筑外窗传热系数降低基准均为国家现行相关建筑节能设计标准的要求。</w:t>
      </w:r>
    </w:p>
    <w:p>
      <w:pPr>
        <w:jc w:val="left"/>
      </w:pPr>
      <w:r>
        <w:rPr>
          <w:rFonts w:hint="eastAsia" w:ascii="宋体" w:hAnsi="宋体"/>
          <w:bCs/>
          <w:color w:val="000000"/>
          <w:sz w:val="22"/>
          <w:szCs w:val="22"/>
        </w:rPr>
        <w:t xml:space="preserve">   2 住宅建筑隔声性能对应的标准为现行国家标准《民用建筑隔声设计规范》GB 50118。</w:t>
      </w:r>
    </w:p>
    <w:p>
      <w:pPr>
        <w:jc w:val="left"/>
      </w:pPr>
      <w:r>
        <w:rPr>
          <w:rFonts w:hint="eastAsia" w:ascii="宋体" w:hAnsi="宋体"/>
          <w:bCs/>
          <w:color w:val="000000"/>
          <w:sz w:val="22"/>
          <w:szCs w:val="22"/>
        </w:rPr>
        <w:t xml:space="preserve">   3 室内主要空气污染物包括氨、甲醛、苯、总挥发性有机物、氡、可吸入颗粒物等，其浓度降低基准为现行国家标准《室内空气质量标准》GB/T 18883的有关要求。</w:t>
      </w:r>
    </w:p>
    <w:p>
      <w:br w:type="page"/>
    </w:p>
    <w:p>
      <w:pPr>
        <w:jc w:val="center"/>
      </w:pPr>
      <w:r>
        <w:rPr>
          <w:rFonts w:hint="eastAsia" w:ascii="宋体" w:hAnsi="宋体"/>
          <w:bCs/>
          <w:color w:val="000000"/>
          <w:sz w:val="20"/>
          <w:szCs w:val="20"/>
        </w:rPr>
        <w:t>表2项目自评得分情况</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900" w:type="dxa"/>
            <w:vAlign w:val="center"/>
          </w:tcPr>
          <w:p>
            <w:pPr>
              <w:spacing w:before="0" w:after="3" w:lineRule="auto"/>
              <w:jc w:val="center"/>
            </w:pPr>
            <w:r>
              <w:rPr>
                <w:rFonts w:hint="eastAsia" w:ascii="宋体" w:hAnsi="宋体"/>
                <w:bCs/>
                <w:color w:val="000000"/>
                <w:sz w:val="24"/>
                <w:szCs w:val="24"/>
              </w:rPr>
              <w:t/>
            </w:r>
          </w:p>
        </w:tc>
        <w:tc>
          <w:tcPr>
            <w:tcW w:w="1900" w:type="dxa"/>
            <w:vAlign w:val="center"/>
          </w:tcPr>
          <w:p>
            <w:pPr>
              <w:spacing w:before="0" w:after="3" w:lineRule="auto"/>
              <w:jc w:val="center"/>
            </w:pPr>
            <w:r>
              <w:rPr>
                <w:rFonts w:hint="eastAsia" w:ascii="宋体" w:hAnsi="宋体"/>
                <w:b/>
                <w:bCs/>
                <w:color w:val="000000"/>
                <w:sz w:val="21"/>
                <w:szCs w:val="21"/>
              </w:rPr>
              <w:t>控制项基础分值 Q0</w:t>
            </w:r>
          </w:p>
        </w:tc>
        <w:tc>
          <w:tcPr>
            <w:tcW w:w="1900" w:type="dxa"/>
            <w:vAlign w:val="center"/>
          </w:tcPr>
          <w:p>
            <w:pPr>
              <w:spacing w:before="0" w:after="3" w:lineRule="auto"/>
              <w:jc w:val="center"/>
            </w:pPr>
            <w:r>
              <w:rPr>
                <w:rFonts w:hint="eastAsia" w:ascii="宋体" w:hAnsi="宋体"/>
                <w:b/>
                <w:bCs/>
                <w:color w:val="000000"/>
                <w:sz w:val="20"/>
                <w:szCs w:val="20"/>
              </w:rPr>
              <w:t>安全耐久Q1</w:t>
            </w:r>
          </w:p>
        </w:tc>
        <w:tc>
          <w:tcPr>
            <w:tcW w:w="1900" w:type="dxa"/>
            <w:vAlign w:val="center"/>
          </w:tcPr>
          <w:p>
            <w:pPr>
              <w:spacing w:before="0" w:after="3" w:lineRule="auto"/>
              <w:jc w:val="center"/>
            </w:pPr>
            <w:r>
              <w:rPr>
                <w:rFonts w:hint="eastAsia" w:ascii="宋体" w:hAnsi="宋体"/>
                <w:b/>
                <w:bCs/>
                <w:color w:val="000000"/>
                <w:sz w:val="20"/>
                <w:szCs w:val="20"/>
              </w:rPr>
              <w:t>健康舒适Q2</w:t>
            </w:r>
          </w:p>
        </w:tc>
        <w:tc>
          <w:tcPr>
            <w:tcW w:w="1900" w:type="dxa"/>
            <w:vAlign w:val="center"/>
          </w:tcPr>
          <w:p>
            <w:pPr>
              <w:spacing w:before="0" w:after="3" w:lineRule="auto"/>
              <w:jc w:val="center"/>
            </w:pPr>
            <w:r>
              <w:rPr>
                <w:rFonts w:hint="eastAsia" w:ascii="宋体" w:hAnsi="宋体"/>
                <w:b/>
                <w:bCs/>
                <w:color w:val="000000"/>
                <w:sz w:val="20"/>
                <w:szCs w:val="20"/>
              </w:rPr>
              <w:t>生活便利Q3</w:t>
            </w:r>
          </w:p>
        </w:tc>
        <w:tc>
          <w:tcPr>
            <w:tcW w:w="1900" w:type="dxa"/>
            <w:vAlign w:val="center"/>
          </w:tcPr>
          <w:p>
            <w:pPr>
              <w:spacing w:before="0" w:after="3" w:lineRule="auto"/>
              <w:jc w:val="center"/>
            </w:pPr>
            <w:r>
              <w:rPr>
                <w:rFonts w:hint="eastAsia" w:ascii="宋体" w:hAnsi="宋体"/>
                <w:b/>
                <w:bCs/>
                <w:color w:val="000000"/>
                <w:sz w:val="20"/>
                <w:szCs w:val="20"/>
              </w:rPr>
              <w:t>资源节约Q4</w:t>
            </w:r>
          </w:p>
        </w:tc>
        <w:tc>
          <w:tcPr>
            <w:tcW w:w="1900" w:type="dxa"/>
            <w:vAlign w:val="center"/>
          </w:tcPr>
          <w:p>
            <w:pPr>
              <w:spacing w:before="0" w:after="3" w:lineRule="auto"/>
              <w:jc w:val="center"/>
            </w:pPr>
            <w:r>
              <w:rPr>
                <w:rFonts w:hint="eastAsia" w:ascii="宋体" w:hAnsi="宋体"/>
                <w:b/>
                <w:bCs/>
                <w:color w:val="000000"/>
                <w:sz w:val="20"/>
                <w:szCs w:val="20"/>
              </w:rPr>
              <w:t>环境宜居Q5</w:t>
            </w:r>
          </w:p>
        </w:tc>
        <w:tc>
          <w:tcPr>
            <w:tcW w:w="1900" w:type="dxa"/>
            <w:vAlign w:val="center"/>
          </w:tcPr>
          <w:p>
            <w:pPr>
              <w:spacing w:before="0" w:after="3" w:lineRule="auto"/>
              <w:jc w:val="center"/>
            </w:pPr>
            <w:r>
              <w:rPr>
                <w:rFonts w:hint="eastAsia" w:ascii="宋体" w:hAnsi="宋体"/>
                <w:b/>
                <w:bCs/>
                <w:color w:val="000000"/>
                <w:sz w:val="21"/>
                <w:szCs w:val="21"/>
              </w:rPr>
              <w:t>加分项QA</w:t>
            </w:r>
          </w:p>
        </w:tc>
      </w:tr>
      <w:tr>
        <w:tc>
          <w:tcPr>
            <w:tcW w:w="1900" w:type="dxa"/>
            <w:vAlign w:val="center"/>
          </w:tcPr>
          <w:p>
            <w:pPr>
              <w:spacing w:before="0" w:after="3" w:lineRule="auto"/>
              <w:jc w:val="center"/>
            </w:pPr>
            <w:r>
              <w:rPr>
                <w:rFonts w:hint="eastAsia" w:ascii="宋体" w:hAnsi="宋体"/>
                <w:b/>
                <w:bCs/>
                <w:color w:val="000000"/>
                <w:sz w:val="24"/>
                <w:szCs w:val="24"/>
              </w:rPr>
              <w:t>预评价分值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70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评价分值</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200</w:t>
            </w:r>
          </w:p>
        </w:tc>
        <w:tc>
          <w:tcPr>
            <w:tcW w:w="1900" w:type="dxa"/>
            <w:vAlign w:val="center"/>
          </w:tcPr>
          <w:p>
            <w:pPr>
              <w:spacing w:before="0" w:after="3" w:lineRule="auto"/>
              <w:jc w:val="center"/>
            </w:pPr>
            <w:r>
              <w:rPr>
                <w:rFonts w:hint="eastAsia" w:ascii="宋体" w:hAnsi="宋体"/>
                <w:bCs/>
                <w:color w:val="000000"/>
                <w:sz w:val="24"/>
                <w:szCs w:val="24"/>
              </w:rPr>
              <w:t>100</w:t>
            </w:r>
          </w:p>
        </w:tc>
        <w:tc>
          <w:tcPr>
            <w:tcW w:w="1900" w:type="dxa"/>
            <w:vAlign w:val="center"/>
          </w:tcPr>
          <w:p>
            <w:pPr>
              <w:spacing w:before="0" w:after="3" w:lineRule="auto"/>
              <w:jc w:val="center"/>
            </w:pPr>
            <w:r>
              <w:rPr>
                <w:rFonts w:hint="eastAsia" w:ascii="宋体" w:hAnsi="宋体"/>
                <w:bCs/>
                <w:color w:val="000000"/>
                <w:sz w:val="24"/>
                <w:szCs w:val="24"/>
              </w:rPr>
              <w:t>100</w:t>
            </w:r>
          </w:p>
        </w:tc>
      </w:tr>
      <w:tr>
        <w:tc>
          <w:tcPr>
            <w:tcW w:w="1900" w:type="dxa"/>
            <w:vAlign w:val="center"/>
          </w:tcPr>
          <w:p>
            <w:pPr>
              <w:spacing w:before="0" w:after="3" w:lineRule="auto"/>
              <w:jc w:val="center"/>
            </w:pPr>
            <w:r>
              <w:rPr>
                <w:rFonts w:hint="eastAsia" w:ascii="宋体" w:hAnsi="宋体"/>
                <w:b/>
                <w:bCs/>
                <w:color w:val="000000"/>
                <w:sz w:val="24"/>
                <w:szCs w:val="24"/>
              </w:rPr>
              <w:t>自评得分</w:t>
            </w:r>
          </w:p>
        </w:tc>
        <w:tc>
          <w:tcPr>
            <w:tcW w:w="1900" w:type="dxa"/>
            <w:vAlign w:val="center"/>
          </w:tcPr>
          <w:p>
            <w:pPr>
              <w:spacing w:before="0" w:after="3" w:lineRule="auto"/>
              <w:jc w:val="center"/>
            </w:pPr>
            <w:r>
              <w:rPr>
                <w:rFonts w:hint="eastAsia" w:ascii="宋体" w:hAnsi="宋体"/>
                <w:bCs/>
                <w:color w:val="000000"/>
                <w:sz w:val="24"/>
                <w:szCs w:val="24"/>
              </w:rPr>
              <w:t>400</w:t>
            </w:r>
          </w:p>
        </w:tc>
        <w:tc>
          <w:tcPr>
            <w:tcW w:w="1900" w:type="dxa"/>
            <w:vAlign w:val="center"/>
          </w:tcPr>
          <w:p>
            <w:pPr>
              <w:spacing w:before="0" w:after="3" w:lineRule="auto"/>
              <w:jc w:val="center"/>
            </w:pPr>
            <w:r>
              <w:rPr>
                <w:rFonts w:hint="eastAsia" w:ascii="宋体" w:hAnsi="宋体"/>
                <w:bCs/>
                <w:color w:val="000000"/>
                <w:sz w:val="24"/>
                <w:szCs w:val="24"/>
              </w:rPr>
              <w:t>95.0</w:t>
            </w:r>
          </w:p>
        </w:tc>
        <w:tc>
          <w:tcPr>
            <w:tcW w:w="1900" w:type="dxa"/>
            <w:vAlign w:val="center"/>
          </w:tcPr>
          <w:p>
            <w:pPr>
              <w:spacing w:before="0" w:after="3" w:lineRule="auto"/>
              <w:jc w:val="center"/>
            </w:pPr>
            <w:r>
              <w:rPr>
                <w:rFonts w:hint="eastAsia" w:ascii="宋体" w:hAnsi="宋体"/>
                <w:bCs/>
                <w:color w:val="000000"/>
                <w:sz w:val="24"/>
                <w:szCs w:val="24"/>
              </w:rPr>
              <w:t>100.0</w:t>
            </w:r>
          </w:p>
        </w:tc>
        <w:tc>
          <w:tcPr>
            <w:tcW w:w="1900" w:type="dxa"/>
            <w:vAlign w:val="center"/>
          </w:tcPr>
          <w:p>
            <w:pPr>
              <w:spacing w:before="0" w:after="3" w:lineRule="auto"/>
              <w:jc w:val="center"/>
            </w:pPr>
            <w:r>
              <w:rPr>
                <w:rFonts w:hint="eastAsia" w:ascii="宋体" w:hAnsi="宋体"/>
                <w:bCs/>
                <w:color w:val="000000"/>
                <w:sz w:val="24"/>
                <w:szCs w:val="24"/>
              </w:rPr>
              <w:t>78.0</w:t>
            </w:r>
          </w:p>
        </w:tc>
        <w:tc>
          <w:tcPr>
            <w:tcW w:w="1900" w:type="dxa"/>
            <w:vAlign w:val="center"/>
          </w:tcPr>
          <w:p>
            <w:pPr>
              <w:spacing w:before="0" w:after="3" w:lineRule="auto"/>
              <w:jc w:val="center"/>
            </w:pPr>
            <w:r>
              <w:rPr>
                <w:rFonts w:hint="eastAsia" w:ascii="宋体" w:hAnsi="宋体"/>
                <w:bCs/>
                <w:color w:val="000000"/>
                <w:sz w:val="24"/>
                <w:szCs w:val="24"/>
              </w:rPr>
              <w:t>200.0</w:t>
            </w:r>
          </w:p>
        </w:tc>
        <w:tc>
          <w:tcPr>
            <w:tcW w:w="1900" w:type="dxa"/>
            <w:vAlign w:val="center"/>
          </w:tcPr>
          <w:p>
            <w:pPr>
              <w:spacing w:before="0" w:after="3" w:lineRule="auto"/>
              <w:jc w:val="center"/>
            </w:pPr>
            <w:r>
              <w:rPr>
                <w:rFonts w:hint="eastAsia" w:ascii="宋体" w:hAnsi="宋体"/>
                <w:bCs/>
                <w:color w:val="000000"/>
                <w:sz w:val="24"/>
                <w:szCs w:val="24"/>
              </w:rPr>
              <w:t>100.0</w:t>
            </w:r>
          </w:p>
        </w:tc>
        <w:tc>
          <w:tcPr>
            <w:tcW w:w="1900" w:type="dxa"/>
            <w:vAlign w:val="center"/>
          </w:tcPr>
          <w:p>
            <w:pPr>
              <w:spacing w:before="0" w:after="3" w:lineRule="auto"/>
              <w:jc w:val="center"/>
            </w:pPr>
            <w:r>
              <w:rPr>
                <w:rFonts w:hint="eastAsia" w:ascii="宋体" w:hAnsi="宋体"/>
                <w:bCs/>
                <w:color w:val="000000"/>
                <w:sz w:val="24"/>
                <w:szCs w:val="24"/>
              </w:rPr>
              <w:t>100.0</w:t>
            </w:r>
          </w:p>
        </w:tc>
      </w:tr>
      <w:tr>
        <w:tc>
          <w:tcPr>
            <w:tcW w:w="1900" w:type="dxa"/>
            <w:vAlign w:val="center"/>
          </w:tcPr>
          <w:p>
            <w:pPr>
              <w:spacing w:before="0" w:after="3" w:lineRule="auto"/>
              <w:jc w:val="center"/>
            </w:pPr>
            <w:r>
              <w:rPr>
                <w:rFonts w:hint="eastAsia" w:ascii="宋体" w:hAnsi="宋体"/>
                <w:b/>
                <w:bCs/>
                <w:color w:val="000000"/>
                <w:sz w:val="24"/>
                <w:szCs w:val="24"/>
              </w:rPr>
              <w:t>总得分Q</w:t>
            </w:r>
          </w:p>
        </w:tc>
        <w:tc>
          <w:tcPr>
            <w:tcW w:w="1900" w:type="dxa"/>
            <w:hMerge w:val="restart"/>
            <w:vAlign w:val="center"/>
          </w:tcPr>
          <w:p>
            <w:pPr>
              <w:spacing w:before="0" w:after="3" w:lineRule="auto"/>
              <w:jc w:val="center"/>
            </w:pPr>
            <w:r>
              <w:rPr>
                <w:rFonts w:hint="eastAsia" w:ascii="宋体" w:hAnsi="宋体"/>
                <w:bCs/>
                <w:color w:val="000000"/>
                <w:sz w:val="24"/>
                <w:szCs w:val="24"/>
              </w:rPr>
              <w:t>107.3</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r>
        <w:tc>
          <w:tcPr>
            <w:tcW w:w="1900" w:type="dxa"/>
            <w:vAlign w:val="center"/>
          </w:tcPr>
          <w:p>
            <w:pPr>
              <w:spacing w:before="0" w:after="3" w:lineRule="auto"/>
              <w:jc w:val="center"/>
            </w:pPr>
            <w:r>
              <w:rPr>
                <w:rFonts w:hint="eastAsia" w:ascii="宋体" w:hAnsi="宋体"/>
                <w:b/>
                <w:bCs/>
                <w:color w:val="000000"/>
                <w:sz w:val="24"/>
                <w:szCs w:val="24"/>
              </w:rPr>
              <w:t>自评星级</w:t>
            </w:r>
          </w:p>
        </w:tc>
        <w:tc>
          <w:tcPr>
            <w:tcW w:w="1900" w:type="dxa"/>
            <w:hMerge w:val="restart"/>
            <w:vAlign w:val="center"/>
          </w:tcPr>
          <w:p>
            <w:pPr>
              <w:spacing w:before="0" w:after="3" w:lineRule="auto"/>
              <w:jc w:val="center"/>
            </w:pPr>
            <w:r>
              <w:rPr>
                <w:rFonts w:hint="eastAsia" w:ascii="宋体" w:hAnsi="宋体"/>
                <w:bCs/>
                <w:color w:val="000000"/>
                <w:sz w:val="24"/>
                <w:szCs w:val="24"/>
              </w:rPr>
              <w:t>★★★</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c>
          <w:tcPr>
            <w:tcW w:w="1900" w:type="dxa"/>
            <w:hMerge w:val="continue"/>
            <w:vAlign w:val="center"/>
          </w:tcPr>
          <w:p>
            <w:pPr>
              <w:spacing w:before="0" w:after="3" w:lineRule="auto"/>
              <w:jc w:val="center"/>
            </w:pPr>
            <w:r>
              <w:rPr>
                <w:rFonts w:hint="eastAsia" w:ascii="宋体" w:hAnsi="宋体"/>
                <w:bCs/>
                <w:color w:val="000000"/>
                <w:sz w:val="24"/>
                <w:szCs w:val="24"/>
              </w:rPr>
              <w:t/>
            </w:r>
          </w:p>
        </w:tc>
      </w:tr>
    </w:tbl>
    <w:p>
      <w:pPr>
        <w:jc w:val="center"/>
      </w:pPr>
      <w:r>
        <w:rPr>
          <w:rFonts w:hint="eastAsia" w:ascii="宋体" w:hAnsi="宋体"/>
          <w:bCs/>
          <w:color w:val="000000"/>
          <w:sz w:val="20"/>
          <w:szCs w:val="20"/>
        </w:rPr>
        <w:t>注：总得分Q=（Q0+Q1+Q2+Q3+Q4+Q5+QA）/10</w:t>
      </w:r>
    </w:p>
    <w:p>
      <w:pPr>
        <w:jc w:val="left"/>
      </w:pPr>
      <w:r>
        <w:rPr>
          <w:rFonts w:hint="eastAsia" w:ascii="宋体" w:hAnsi="宋体"/>
          <w:bCs/>
          <w:color w:val="000000"/>
          <w:sz w:val="24"/>
          <w:szCs w:val="24"/>
          <w:u w:val="single"/>
        </w:rPr>
        <w:t/>
      </w:r>
    </w:p>
    <w:p>
      <w:br w:type="page"/>
    </w:p>
    <w:p>
      <w:pPr>
        <w:jc w:val="center"/>
      </w:pPr>
      <w:r>
        <w:rPr>
          <w:rFonts w:hint="eastAsia" w:ascii="宋体" w:hAnsi="宋体"/>
          <w:b/>
          <w:bCs/>
          <w:color w:val="000000"/>
          <w:sz w:val="28"/>
          <w:szCs w:val="28"/>
        </w:rPr>
        <w:t>二、项目效果图（需标示申报范围）</w:t>
      </w:r>
    </w:p>
    <w:p>
      <w:pPr>
        <w:jc w:val="left"/>
      </w:pPr>
      <w:r>
        <w:rPr>
          <w:rFonts w:hint="eastAsia" w:ascii="宋体" w:hAnsi="宋体"/>
          <w:bCs/>
          <w:color w:val="000000"/>
          <w:sz w:val="30"/>
          <w:szCs w:val="30"/>
        </w:rPr>
        <w:t>1、项目效果图（竣工，申报对象为部分时，应在整体中标示申报范围）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3"/>
                    <a:stretch>
                      <a:fillRect/>
                    </a:stretch>
                  </pic:blipFill>
                  <pic:spPr>
                    <a:xfrm>
                      <a:off x="0" y="0"/>
                      <a:ext cx="1905000" cy="2667000"/>
                    </a:xfrm>
                    <a:prstGeom prst="rect">
                      <a:avLst/>
                    </a:prstGeom>
                  </pic:spPr>
                </pic:pic>
              </a:graphicData>
            </a:graphic>
          </wp:inline>
        </w:drawing>
      </w:r>
    </w:p>
    <w:p>
      <w:pPr>
        <w:jc w:val="left"/>
      </w:pPr>
      <w:r>
        <w:rPr>
          <w:rFonts w:hint="eastAsia" w:ascii="宋体" w:hAnsi="宋体"/>
          <w:bCs/>
          <w:color w:val="000000"/>
          <w:sz w:val="30"/>
          <w:szCs w:val="30"/>
        </w:rPr>
        <w:t>2、项目总平面图（申报对象为部分时，应在整体中标示申报范围）</w:t>
      </w:r>
    </w:p>
    <w:p>
      <w:pPr>
        <w:jc w:val="center"/>
      </w:pPr>
      <w:r>
        <w:drawing>
          <wp:inline distT="0" distB="0" distL="0" distR="0">
            <wp:extent cx="1905000" cy="2667000"/>
            <wp:effectExtent l="0" t="0" r="0" b="0"/>
            <wp:docPr id="1" name="Filename hint" descr="Alternative text"/>
            <wp:cNvGraphicFramePr>
              <a:graphicFrameLocks noChangeAspect="true"/>
            </wp:cNvGraphicFramePr>
            <a:graphic>
              <a:graphicData uri="http://schemas.openxmlformats.org/drawingml/2006/picture">
                <pic:pic>
                  <pic:nvPicPr>
                    <pic:cNvPr id="2" name="Filename hint"/>
                    <pic:cNvPicPr/>
                  </pic:nvPicPr>
                  <pic:blipFill>
                    <a:blip r:embed="rId4"/>
                    <a:stretch>
                      <a:fillRect/>
                    </a:stretch>
                  </pic:blipFill>
                  <pic:spPr>
                    <a:xfrm>
                      <a:off x="0" y="0"/>
                      <a:ext cx="1905000" cy="2667000"/>
                    </a:xfrm>
                    <a:prstGeom prst="rect">
                      <a:avLst/>
                    </a:prstGeom>
                  </pic:spPr>
                </pic:pic>
              </a:graphicData>
            </a:graphic>
          </wp:inline>
        </w:drawing>
      </w:r>
    </w:p>
    <w:p>
      <w:pPr>
        <w:jc w:val="center"/>
      </w:pPr>
      <w:r>
        <w:rPr>
          <w:rFonts w:hint="eastAsia" w:ascii="宋体" w:hAnsi="宋体"/>
          <w:b/>
          <w:bCs/>
          <w:color w:val="000000"/>
          <w:sz w:val="28"/>
          <w:szCs w:val="28"/>
        </w:rPr>
        <w:t/>
      </w:r>
    </w:p>
    <w:p>
      <w:pPr>
        <w:jc w:val="left"/>
      </w:pPr>
      <w:r>
        <w:rPr>
          <w:rFonts w:hint="eastAsia" w:ascii="宋体" w:hAnsi="宋体"/>
          <w:bCs/>
          <w:color w:val="000000"/>
          <w:sz w:val="24"/>
          <w:szCs w:val="24"/>
        </w:rPr>
        <w:t/>
      </w:r>
    </w:p>
    <w:p>
      <w:br w:type="page"/>
    </w:p>
    <w:p>
      <w:pPr>
        <w:jc w:val="center"/>
      </w:pPr>
      <w:r>
        <w:rPr>
          <w:rFonts w:hint="eastAsia" w:ascii="宋体" w:hAnsi="宋体"/>
          <w:b/>
          <w:bCs/>
          <w:color w:val="000000"/>
          <w:sz w:val="28"/>
          <w:szCs w:val="28"/>
        </w:rPr>
        <w:t/>
      </w:r>
    </w:p>
    <w:p>
      <w:pPr>
        <w:jc w:val="center"/>
      </w:pPr>
      <w:r>
        <w:rPr>
          <w:rFonts w:hint="eastAsia" w:ascii="宋体" w:hAnsi="宋体"/>
          <w:b/>
          <w:bCs/>
          <w:color w:val="000000"/>
          <w:sz w:val="28"/>
          <w:szCs w:val="28"/>
        </w:rPr>
        <w:t>三、自评内容</w:t>
      </w:r>
    </w:p>
    <w:p>
      <w:pPr>
        <w:jc w:val="center"/>
      </w:pPr>
      <w:r>
        <w:rPr>
          <w:rFonts w:hint="eastAsia" w:ascii="宋体" w:hAnsi="宋体"/>
          <w:b/>
          <w:bCs/>
          <w:color w:val="000000"/>
          <w:sz w:val="24"/>
          <w:szCs w:val="24"/>
        </w:rPr>
        <w:t>4 安全耐久</w:t>
      </w:r>
    </w:p>
    <w:tbl>
      <w:tblPr>
        <w:jc w:val="center"/>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Pr>
      <w:tr>
        <w:tc>
          <w:tcPr>
            <w:tcW w:w="1000" w:type="dxa"/>
            <w:shd w:color="auto" w:fill="DCDCDC"/>
            <w:vAlign w:val="center"/>
          </w:tcPr>
          <w:p>
            <w:pPr>
              <w:spacing w:before="0" w:after="3" w:lineRule="auto"/>
              <w:jc w:val="center"/>
            </w:pPr>
            <w:r>
              <w:rPr>
                <w:rFonts w:hint="eastAsia" w:ascii="宋体" w:hAnsi="宋体"/>
                <w:b/>
                <w:bCs/>
                <w:color w:val="000000"/>
                <w:sz w:val="20"/>
                <w:szCs w:val="20"/>
              </w:rPr>
              <w:t>子项</w:t>
            </w:r>
          </w:p>
        </w:tc>
        <w:tc>
          <w:tcPr>
            <w:tcW w:w="800" w:type="dxa"/>
            <w:shd w:color="auto" w:fill="DCDCDC"/>
            <w:vAlign w:val="center"/>
          </w:tcPr>
          <w:p>
            <w:pPr>
              <w:spacing w:before="0" w:after="3" w:lineRule="auto"/>
              <w:jc w:val="center"/>
            </w:pPr>
            <w:r>
              <w:rPr>
                <w:rFonts w:hint="eastAsia" w:ascii="宋体" w:hAnsi="宋体"/>
                <w:b/>
                <w:bCs/>
                <w:color w:val="000000"/>
                <w:sz w:val="22"/>
                <w:szCs w:val="22"/>
              </w:rPr>
              <w:t>条文编号</w:t>
            </w:r>
          </w:p>
        </w:tc>
        <w:tc>
          <w:tcPr>
            <w:tcW w:w="5000" w:type="dxa"/>
            <w:shd w:color="auto" w:fill="DCDCDC"/>
            <w:vAlign w:val="center"/>
          </w:tcPr>
          <w:p>
            <w:pPr>
              <w:spacing w:before="0" w:after="3" w:lineRule="auto"/>
              <w:jc w:val="center"/>
            </w:pPr>
            <w:r>
              <w:rPr>
                <w:rFonts w:hint="eastAsia" w:ascii="宋体" w:hAnsi="宋体"/>
                <w:b/>
                <w:bCs/>
                <w:color w:val="000000"/>
                <w:sz w:val="20"/>
                <w:szCs w:val="20"/>
              </w:rPr>
              <w:t>条文</w:t>
            </w:r>
          </w:p>
        </w:tc>
        <w:tc>
          <w:tcPr>
            <w:tcW w:w="800" w:type="dxa"/>
            <w:shd w:color="auto" w:fill="DCDCDC"/>
            <w:vAlign w:val="center"/>
          </w:tcPr>
          <w:p>
            <w:pPr>
              <w:spacing w:before="0" w:after="3" w:lineRule="auto"/>
              <w:jc w:val="center"/>
            </w:pPr>
            <w:r>
              <w:rPr>
                <w:rFonts w:hint="eastAsia" w:ascii="宋体" w:hAnsi="宋体"/>
                <w:b/>
                <w:bCs/>
                <w:color w:val="000000"/>
                <w:sz w:val="20"/>
                <w:szCs w:val="20"/>
              </w:rPr>
              <w:t>满分</w:t>
            </w:r>
          </w:p>
        </w:tc>
        <w:tc>
          <w:tcPr>
            <w:tcW w:w="800" w:type="dxa"/>
            <w:shd w:color="auto" w:fill="DCDCDC"/>
            <w:vAlign w:val="center"/>
          </w:tcPr>
          <w:p>
            <w:pPr>
              <w:spacing w:before="0" w:after="3" w:lineRule="auto"/>
              <w:jc w:val="center"/>
            </w:pPr>
            <w:r>
              <w:rPr>
                <w:rFonts w:hint="eastAsia" w:ascii="宋体" w:hAnsi="宋体"/>
                <w:b/>
                <w:bCs/>
                <w:color w:val="000000"/>
                <w:sz w:val="20"/>
                <w:szCs w:val="20"/>
              </w:rPr>
              <w:t>达标/得分</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控制项</w:t>
            </w:r>
          </w:p>
        </w:tc>
        <w:tc>
          <w:tcPr>
            <w:tcW w:w="800" w:type="dxa"/>
            <w:vAlign w:val="center"/>
          </w:tcPr>
          <w:p>
            <w:pPr>
              <w:spacing w:before="0" w:after="3" w:lineRule="auto"/>
              <w:jc w:val="left"/>
            </w:pPr>
            <w:r>
              <w:rPr>
                <w:rFonts w:hint="eastAsia" w:ascii="宋体" w:hAnsi="宋体"/>
                <w:bCs/>
                <w:color w:val="000000"/>
                <w:sz w:val="22"/>
                <w:szCs w:val="22"/>
              </w:rPr>
              <w:t>4.1.1</w:t>
            </w:r>
          </w:p>
        </w:tc>
        <w:tc>
          <w:tcPr>
            <w:tcW w:w="5000" w:type="dxa"/>
            <w:vAlign w:val="center"/>
          </w:tcPr>
          <w:p>
            <w:pPr>
              <w:spacing w:before="0" w:after="3" w:lineRule="auto"/>
              <w:jc w:val="left"/>
            </w:pPr>
            <w:r>
              <w:rPr>
                <w:rFonts w:hint="eastAsia" w:ascii="宋体" w:hAnsi="宋体"/>
                <w:bCs/>
                <w:color w:val="000000"/>
                <w:sz w:val="22"/>
                <w:szCs w:val="22"/>
              </w:rPr>
              <w:t>场地应避开滑坡、泥石流等地质危险地段，易发生洪涝地区应有可靠的防洪涝基础设施；场地应无危险化学品、易燃易爆危险源的威胁，应无电磁辐射、含氡土壤的危害</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4.1.2</w:t>
            </w:r>
          </w:p>
        </w:tc>
        <w:tc>
          <w:tcPr>
            <w:tcW w:w="5000" w:type="dxa"/>
            <w:vAlign w:val="center"/>
          </w:tcPr>
          <w:p>
            <w:pPr>
              <w:spacing w:before="0" w:after="3" w:lineRule="auto"/>
              <w:jc w:val="left"/>
            </w:pPr>
            <w:r>
              <w:rPr>
                <w:rFonts w:hint="eastAsia" w:ascii="宋体" w:hAnsi="宋体"/>
                <w:bCs/>
                <w:color w:val="000000"/>
                <w:sz w:val="22"/>
                <w:szCs w:val="22"/>
              </w:rPr>
              <w:t>建筑结构应满足承载力和建筑使用功能要求。建筑外墙、屋面、门窗、幕墙及外保温等围护结构应满足安全、耐久和防护的要求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4.1.3</w:t>
            </w:r>
          </w:p>
        </w:tc>
        <w:tc>
          <w:tcPr>
            <w:tcW w:w="5000" w:type="dxa"/>
            <w:vAlign w:val="center"/>
          </w:tcPr>
          <w:p>
            <w:pPr>
              <w:spacing w:before="0" w:after="3" w:lineRule="auto"/>
              <w:jc w:val="left"/>
            </w:pPr>
            <w:r>
              <w:rPr>
                <w:rFonts w:hint="eastAsia" w:ascii="宋体" w:hAnsi="宋体"/>
                <w:bCs/>
                <w:color w:val="000000"/>
                <w:sz w:val="22"/>
                <w:szCs w:val="22"/>
              </w:rPr>
              <w:t>外遮阳、太阳能设施、空调室外机位、外墙花池等外部设施应与建筑主体结构统一设计、施工，并应具备安装、检修与维护条件</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4.1.4</w:t>
            </w:r>
          </w:p>
        </w:tc>
        <w:tc>
          <w:tcPr>
            <w:tcW w:w="5000" w:type="dxa"/>
            <w:vAlign w:val="center"/>
          </w:tcPr>
          <w:p>
            <w:pPr>
              <w:spacing w:before="0" w:after="3" w:lineRule="auto"/>
              <w:jc w:val="left"/>
            </w:pPr>
            <w:r>
              <w:rPr>
                <w:rFonts w:hint="eastAsia" w:ascii="宋体" w:hAnsi="宋体"/>
                <w:bCs/>
                <w:color w:val="000000"/>
                <w:sz w:val="22"/>
                <w:szCs w:val="22"/>
              </w:rPr>
              <w:t>建筑内部的非结构件、设备及附属设施等应连接牢固并能适应主体结构变形</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4.1.5</w:t>
            </w:r>
          </w:p>
        </w:tc>
        <w:tc>
          <w:tcPr>
            <w:tcW w:w="5000" w:type="dxa"/>
            <w:vAlign w:val="center"/>
          </w:tcPr>
          <w:p>
            <w:pPr>
              <w:spacing w:before="0" w:after="3" w:lineRule="auto"/>
              <w:jc w:val="left"/>
            </w:pPr>
            <w:r>
              <w:rPr>
                <w:rFonts w:hint="eastAsia" w:ascii="宋体" w:hAnsi="宋体"/>
                <w:bCs/>
                <w:color w:val="000000"/>
                <w:sz w:val="22"/>
                <w:szCs w:val="22"/>
              </w:rPr>
              <w:t>建筑外门窗必须安装牢固，其抗风压性能和水密性能应符合国家现行有关标准的规定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4.1.6</w:t>
            </w:r>
          </w:p>
        </w:tc>
        <w:tc>
          <w:tcPr>
            <w:tcW w:w="5000" w:type="dxa"/>
            <w:vAlign w:val="center"/>
          </w:tcPr>
          <w:p>
            <w:pPr>
              <w:spacing w:before="0" w:after="3" w:lineRule="auto"/>
              <w:jc w:val="left"/>
            </w:pPr>
            <w:r>
              <w:rPr>
                <w:rFonts w:hint="eastAsia" w:ascii="宋体" w:hAnsi="宋体"/>
                <w:bCs/>
                <w:color w:val="000000"/>
                <w:sz w:val="22"/>
                <w:szCs w:val="22"/>
              </w:rPr>
              <w:t>卫生间、浴室的地面应设置防水层，墙面、顶棚应设置防潮层</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4.1.7</w:t>
            </w:r>
          </w:p>
        </w:tc>
        <w:tc>
          <w:tcPr>
            <w:tcW w:w="5000" w:type="dxa"/>
            <w:vAlign w:val="center"/>
          </w:tcPr>
          <w:p>
            <w:pPr>
              <w:spacing w:before="0" w:after="3" w:lineRule="auto"/>
              <w:jc w:val="left"/>
            </w:pPr>
            <w:r>
              <w:rPr>
                <w:rFonts w:hint="eastAsia" w:ascii="宋体" w:hAnsi="宋体"/>
                <w:bCs/>
                <w:color w:val="000000"/>
                <w:sz w:val="22"/>
                <w:szCs w:val="22"/>
              </w:rPr>
              <w:t>走廊、疏散通道等通行空间应满足紧急疏散、应急救护等要求，且应保持畅通</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4.1.8</w:t>
            </w:r>
          </w:p>
        </w:tc>
        <w:tc>
          <w:tcPr>
            <w:tcW w:w="5000" w:type="dxa"/>
            <w:vAlign w:val="center"/>
          </w:tcPr>
          <w:p>
            <w:pPr>
              <w:spacing w:before="0" w:after="3" w:lineRule="auto"/>
              <w:jc w:val="left"/>
            </w:pPr>
            <w:r>
              <w:rPr>
                <w:rFonts w:hint="eastAsia" w:ascii="宋体" w:hAnsi="宋体"/>
                <w:bCs/>
                <w:color w:val="000000"/>
                <w:sz w:val="22"/>
                <w:szCs w:val="22"/>
              </w:rPr>
              <w:t>应具有安全防护的警示和引导标识相统</w:t>
            </w:r>
          </w:p>
        </w:tc>
        <w:tc>
          <w:tcPr>
            <w:tcW w:w="800" w:type="dxa"/>
            <w:vAlign w:val="center"/>
          </w:tcPr>
          <w:p>
            <w:pPr>
              <w:spacing w:before="0" w:after="3" w:lineRule="auto"/>
              <w:jc w:val="center"/>
            </w:pPr>
            <w:r>
              <w:rPr>
                <w:rFonts w:hint="eastAsia" w:ascii="宋体" w:hAnsi="宋体"/>
                <w:bCs/>
                <w:color w:val="000000"/>
                <w:sz w:val="22"/>
                <w:szCs w:val="22"/>
              </w:rPr>
              <w:t>/</w:t>
            </w:r>
          </w:p>
        </w:tc>
        <w:tc>
          <w:tcPr>
            <w:tcW w:w="800" w:type="dxa"/>
            <w:vAlign w:val="center"/>
          </w:tcPr>
          <w:p>
            <w:pPr>
              <w:spacing w:before="0" w:after="3" w:lineRule="auto"/>
              <w:jc w:val="center"/>
            </w:pPr>
            <w:r>
              <w:rPr>
                <w:rFonts w:hint="eastAsia" w:ascii="宋体" w:hAnsi="宋体"/>
                <w:bCs/>
                <w:color w:val="000000"/>
                <w:sz w:val="22"/>
                <w:szCs w:val="22"/>
              </w:rPr>
              <w:t>√</w:t>
            </w:r>
          </w:p>
        </w:tc>
      </w:tr>
      <w:tr>
        <w:tc>
          <w:tcPr>
            <w:tcW w:w="1000" w:type="dxa"/>
            <w:vMerge w:val="restart"/>
            <w:shd w:color="auto" w:fill="DCDCDC"/>
            <w:vAlign w:val="center"/>
          </w:tcPr>
          <w:p>
            <w:pPr>
              <w:spacing w:before="0" w:after="3" w:lineRule="auto"/>
              <w:jc w:val="center"/>
            </w:pPr>
            <w:r>
              <w:rPr>
                <w:rFonts w:hint="eastAsia" w:ascii="宋体" w:hAnsi="宋体"/>
                <w:b/>
                <w:bCs/>
                <w:color w:val="000000"/>
                <w:sz w:val="20"/>
                <w:szCs w:val="20"/>
              </w:rPr>
              <w:t>评分项</w:t>
            </w:r>
          </w:p>
        </w:tc>
        <w:tc>
          <w:tcPr>
            <w:tcW w:w="800" w:type="dxa"/>
            <w:vAlign w:val="center"/>
          </w:tcPr>
          <w:p>
            <w:pPr>
              <w:spacing w:before="0" w:after="3" w:lineRule="auto"/>
              <w:jc w:val="left"/>
            </w:pPr>
            <w:r>
              <w:rPr>
                <w:rFonts w:hint="eastAsia" w:ascii="宋体" w:hAnsi="宋体"/>
                <w:bCs/>
                <w:color w:val="000000"/>
                <w:sz w:val="22"/>
                <w:szCs w:val="22"/>
              </w:rPr>
              <w:t>4.2.1</w:t>
            </w:r>
          </w:p>
        </w:tc>
        <w:tc>
          <w:tcPr>
            <w:tcW w:w="5000" w:type="dxa"/>
            <w:vAlign w:val="center"/>
          </w:tcPr>
          <w:p>
            <w:pPr>
              <w:spacing w:before="0" w:after="3" w:lineRule="auto"/>
              <w:jc w:val="left"/>
            </w:pPr>
            <w:r>
              <w:rPr>
                <w:rFonts w:hint="eastAsia" w:ascii="宋体" w:hAnsi="宋体"/>
                <w:bCs/>
                <w:color w:val="000000"/>
                <w:sz w:val="22"/>
                <w:szCs w:val="22"/>
              </w:rPr>
              <w:t>采用基于性能的抗震设计并合理提高建筑的抗震性能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4.2.2</w:t>
            </w:r>
          </w:p>
        </w:tc>
        <w:tc>
          <w:tcPr>
            <w:tcW w:w="5000" w:type="dxa"/>
            <w:vAlign w:val="center"/>
          </w:tcPr>
          <w:p>
            <w:pPr>
              <w:spacing w:before="0" w:after="3" w:lineRule="auto"/>
              <w:jc w:val="left"/>
            </w:pPr>
            <w:r>
              <w:rPr>
                <w:rFonts w:hint="eastAsia" w:ascii="宋体" w:hAnsi="宋体"/>
                <w:bCs/>
                <w:color w:val="000000"/>
                <w:sz w:val="22"/>
                <w:szCs w:val="22"/>
              </w:rPr>
              <w:t>采取保障人员安全的防护措施</w:t>
            </w:r>
          </w:p>
        </w:tc>
        <w:tc>
          <w:tcPr>
            <w:tcW w:w="800" w:type="dxa"/>
            <w:vAlign w:val="center"/>
          </w:tcPr>
          <w:p>
            <w:pPr>
              <w:spacing w:before="0" w:after="3" w:lineRule="auto"/>
              <w:jc w:val="center"/>
            </w:pPr>
            <w:r>
              <w:rPr>
                <w:rFonts w:hint="eastAsia" w:ascii="宋体" w:hAnsi="宋体"/>
                <w:bCs/>
                <w:color w:val="000000"/>
                <w:sz w:val="22"/>
                <w:szCs w:val="22"/>
              </w:rPr>
              <w:t>15</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4.2.3</w:t>
            </w:r>
          </w:p>
        </w:tc>
        <w:tc>
          <w:tcPr>
            <w:tcW w:w="5000" w:type="dxa"/>
            <w:vAlign w:val="center"/>
          </w:tcPr>
          <w:p>
            <w:pPr>
              <w:spacing w:before="0" w:after="3" w:lineRule="auto"/>
              <w:jc w:val="left"/>
            </w:pPr>
            <w:r>
              <w:rPr>
                <w:rFonts w:hint="eastAsia" w:ascii="宋体" w:hAnsi="宋体"/>
                <w:bCs/>
                <w:color w:val="000000"/>
                <w:sz w:val="22"/>
                <w:szCs w:val="22"/>
              </w:rPr>
              <w:t>采用具有安全防护功能的产品或配件</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4.2.4</w:t>
            </w:r>
          </w:p>
        </w:tc>
        <w:tc>
          <w:tcPr>
            <w:tcW w:w="5000" w:type="dxa"/>
            <w:vAlign w:val="center"/>
          </w:tcPr>
          <w:p>
            <w:pPr>
              <w:spacing w:before="0" w:after="3" w:lineRule="auto"/>
              <w:jc w:val="left"/>
            </w:pPr>
            <w:r>
              <w:rPr>
                <w:rFonts w:hint="eastAsia" w:ascii="宋体" w:hAnsi="宋体"/>
                <w:bCs/>
                <w:color w:val="000000"/>
                <w:sz w:val="22"/>
                <w:szCs w:val="22"/>
              </w:rPr>
              <w:t>室内外地面或路面设置防滑措施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4.2.5</w:t>
            </w:r>
          </w:p>
        </w:tc>
        <w:tc>
          <w:tcPr>
            <w:tcW w:w="5000" w:type="dxa"/>
            <w:vAlign w:val="center"/>
          </w:tcPr>
          <w:p>
            <w:pPr>
              <w:spacing w:before="0" w:after="3" w:lineRule="auto"/>
              <w:jc w:val="left"/>
            </w:pPr>
            <w:r>
              <w:rPr>
                <w:rFonts w:hint="eastAsia" w:ascii="宋体" w:hAnsi="宋体"/>
                <w:bCs/>
                <w:color w:val="000000"/>
                <w:sz w:val="22"/>
                <w:szCs w:val="22"/>
              </w:rPr>
              <w:t>采取人车分流措施，且步行和自行车交通系统有充足照明</w:t>
            </w:r>
          </w:p>
        </w:tc>
        <w:tc>
          <w:tcPr>
            <w:tcW w:w="800" w:type="dxa"/>
            <w:vAlign w:val="center"/>
          </w:tcPr>
          <w:p>
            <w:pPr>
              <w:spacing w:before="0" w:after="3" w:lineRule="auto"/>
              <w:jc w:val="center"/>
            </w:pPr>
            <w:r>
              <w:rPr>
                <w:rFonts w:hint="eastAsia" w:ascii="宋体" w:hAnsi="宋体"/>
                <w:bCs/>
                <w:color w:val="000000"/>
                <w:sz w:val="22"/>
                <w:szCs w:val="22"/>
              </w:rPr>
              <w:t>8</w:t>
            </w:r>
          </w:p>
        </w:tc>
        <w:tc>
          <w:tcPr>
            <w:tcW w:w="800" w:type="dxa"/>
            <w:vAlign w:val="center"/>
          </w:tcPr>
          <w:p>
            <w:pPr>
              <w:spacing w:before="0" w:after="3" w:lineRule="auto"/>
              <w:jc w:val="center"/>
            </w:pPr>
            <w:r>
              <w:rPr>
                <w:rFonts w:hint="eastAsia" w:ascii="宋体" w:hAnsi="宋体"/>
                <w:bCs/>
                <w:color w:val="000000"/>
                <w:sz w:val="22"/>
                <w:szCs w:val="22"/>
              </w:rPr>
              <w:t>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4.2.6</w:t>
            </w:r>
          </w:p>
        </w:tc>
        <w:tc>
          <w:tcPr>
            <w:tcW w:w="5000" w:type="dxa"/>
            <w:vAlign w:val="center"/>
          </w:tcPr>
          <w:p>
            <w:pPr>
              <w:spacing w:before="0" w:after="3" w:lineRule="auto"/>
              <w:jc w:val="left"/>
            </w:pPr>
            <w:r>
              <w:rPr>
                <w:rFonts w:hint="eastAsia" w:ascii="宋体" w:hAnsi="宋体"/>
                <w:bCs/>
                <w:color w:val="000000"/>
                <w:sz w:val="22"/>
                <w:szCs w:val="22"/>
              </w:rPr>
              <w:t>采取提升建筑适变性的措施</w:t>
            </w:r>
          </w:p>
        </w:tc>
        <w:tc>
          <w:tcPr>
            <w:tcW w:w="800" w:type="dxa"/>
            <w:vAlign w:val="center"/>
          </w:tcPr>
          <w:p>
            <w:pPr>
              <w:spacing w:before="0" w:after="3" w:lineRule="auto"/>
              <w:jc w:val="center"/>
            </w:pPr>
            <w:r>
              <w:rPr>
                <w:rFonts w:hint="eastAsia" w:ascii="宋体" w:hAnsi="宋体"/>
                <w:bCs/>
                <w:color w:val="000000"/>
                <w:sz w:val="22"/>
                <w:szCs w:val="22"/>
              </w:rPr>
              <w:t>18</w:t>
            </w:r>
          </w:p>
        </w:tc>
        <w:tc>
          <w:tcPr>
            <w:tcW w:w="800" w:type="dxa"/>
            <w:vAlign w:val="center"/>
          </w:tcPr>
          <w:p>
            <w:pPr>
              <w:spacing w:before="0" w:after="3" w:lineRule="auto"/>
              <w:jc w:val="center"/>
            </w:pPr>
            <w:r>
              <w:rPr>
                <w:rFonts w:hint="eastAsia" w:ascii="宋体" w:hAnsi="宋体"/>
                <w:bCs/>
                <w:color w:val="000000"/>
                <w:sz w:val="22"/>
                <w:szCs w:val="22"/>
              </w:rPr>
              <w:t>18</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4.2.7</w:t>
            </w:r>
          </w:p>
        </w:tc>
        <w:tc>
          <w:tcPr>
            <w:tcW w:w="5000" w:type="dxa"/>
            <w:vAlign w:val="center"/>
          </w:tcPr>
          <w:p>
            <w:pPr>
              <w:spacing w:before="0" w:after="3" w:lineRule="auto"/>
              <w:jc w:val="left"/>
            </w:pPr>
            <w:r>
              <w:rPr>
                <w:rFonts w:hint="eastAsia" w:ascii="宋体" w:hAnsi="宋体"/>
                <w:bCs/>
                <w:color w:val="000000"/>
                <w:sz w:val="22"/>
                <w:szCs w:val="22"/>
              </w:rPr>
              <w:t>采取提升建筑部品部件耐久性的措施</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4.2.8</w:t>
            </w:r>
          </w:p>
        </w:tc>
        <w:tc>
          <w:tcPr>
            <w:tcW w:w="5000" w:type="dxa"/>
            <w:vAlign w:val="center"/>
          </w:tcPr>
          <w:p>
            <w:pPr>
              <w:spacing w:before="0" w:after="3" w:lineRule="auto"/>
              <w:jc w:val="left"/>
            </w:pPr>
            <w:r>
              <w:rPr>
                <w:rFonts w:hint="eastAsia" w:ascii="宋体" w:hAnsi="宋体"/>
                <w:bCs/>
                <w:color w:val="000000"/>
                <w:sz w:val="22"/>
                <w:szCs w:val="22"/>
              </w:rPr>
              <w:t>提高建筑结构材料的耐久性</w:t>
            </w:r>
          </w:p>
        </w:tc>
        <w:tc>
          <w:tcPr>
            <w:tcW w:w="800" w:type="dxa"/>
            <w:vAlign w:val="center"/>
          </w:tcPr>
          <w:p>
            <w:pPr>
              <w:spacing w:before="0" w:after="3" w:lineRule="auto"/>
              <w:jc w:val="center"/>
            </w:pPr>
            <w:r>
              <w:rPr>
                <w:rFonts w:hint="eastAsia" w:ascii="宋体" w:hAnsi="宋体"/>
                <w:bCs/>
                <w:color w:val="000000"/>
                <w:sz w:val="22"/>
                <w:szCs w:val="22"/>
              </w:rPr>
              <w:t>10</w:t>
            </w:r>
          </w:p>
        </w:tc>
        <w:tc>
          <w:tcPr>
            <w:tcW w:w="800" w:type="dxa"/>
            <w:vAlign w:val="center"/>
          </w:tcPr>
          <w:p>
            <w:pPr>
              <w:spacing w:before="0" w:after="3" w:lineRule="auto"/>
              <w:jc w:val="center"/>
            </w:pPr>
            <w:r>
              <w:rPr>
                <w:rFonts w:hint="eastAsia" w:ascii="宋体" w:hAnsi="宋体"/>
                <w:bCs/>
                <w:color w:val="000000"/>
                <w:sz w:val="22"/>
                <w:szCs w:val="22"/>
              </w:rPr>
              <w:t>10</w:t>
            </w:r>
          </w:p>
        </w:tc>
      </w:tr>
      <w:tr>
        <w:tc>
          <w:tcPr>
            <w:tcW w:w="1000" w:type="dxa"/>
            <w:v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left"/>
            </w:pPr>
            <w:r>
              <w:rPr>
                <w:rFonts w:hint="eastAsia" w:ascii="宋体" w:hAnsi="宋体"/>
                <w:bCs/>
                <w:color w:val="000000"/>
                <w:sz w:val="22"/>
                <w:szCs w:val="22"/>
              </w:rPr>
              <w:t>4.2.9</w:t>
            </w:r>
          </w:p>
        </w:tc>
        <w:tc>
          <w:tcPr>
            <w:tcW w:w="5000" w:type="dxa"/>
            <w:vAlign w:val="center"/>
          </w:tcPr>
          <w:p>
            <w:pPr>
              <w:spacing w:before="0" w:after="3" w:lineRule="auto"/>
              <w:jc w:val="left"/>
            </w:pPr>
            <w:r>
              <w:rPr>
                <w:rFonts w:hint="eastAsia" w:ascii="宋体" w:hAnsi="宋体"/>
                <w:bCs/>
                <w:color w:val="000000"/>
                <w:sz w:val="22"/>
                <w:szCs w:val="22"/>
              </w:rPr>
              <w:t>合理采用耐久性好、易维护的装饰装修建筑材料</w:t>
            </w:r>
          </w:p>
        </w:tc>
        <w:tc>
          <w:tcPr>
            <w:tcW w:w="800" w:type="dxa"/>
            <w:vAlign w:val="center"/>
          </w:tcPr>
          <w:p>
            <w:pPr>
              <w:spacing w:before="0" w:after="3" w:lineRule="auto"/>
              <w:jc w:val="center"/>
            </w:pPr>
            <w:r>
              <w:rPr>
                <w:rFonts w:hint="eastAsia" w:ascii="宋体" w:hAnsi="宋体"/>
                <w:bCs/>
                <w:color w:val="000000"/>
                <w:sz w:val="22"/>
                <w:szCs w:val="22"/>
              </w:rPr>
              <w:t>9</w:t>
            </w:r>
          </w:p>
        </w:tc>
        <w:tc>
          <w:tcPr>
            <w:tcW w:w="800" w:type="dxa"/>
            <w:vAlign w:val="center"/>
          </w:tcPr>
          <w:p>
            <w:pPr>
              <w:spacing w:before="0" w:after="3" w:lineRule="auto"/>
              <w:jc w:val="center"/>
            </w:pPr>
            <w:r>
              <w:rPr>
                <w:rFonts w:hint="eastAsia" w:ascii="宋体" w:hAnsi="宋体"/>
                <w:bCs/>
                <w:color w:val="000000"/>
                <w:sz w:val="22"/>
                <w:szCs w:val="22"/>
              </w:rPr>
              <w:t>9</w:t>
            </w:r>
          </w:p>
        </w:tc>
      </w:tr>
      <w:tr>
        <w:tc>
          <w:tcPr>
            <w:tcW w:w="1000" w:type="dxa"/>
            <w:hMerge w:val="restart"/>
            <w:shd w:color="auto" w:fill="DCDCDC"/>
            <w:vAlign w:val="center"/>
          </w:tcPr>
          <w:p>
            <w:pPr>
              <w:spacing w:before="0" w:after="3" w:lineRule="auto"/>
              <w:jc w:val="center"/>
            </w:pPr>
            <w:r>
              <w:rPr>
                <w:rFonts w:hint="eastAsia" w:ascii="宋体" w:hAnsi="宋体"/>
                <w:b/>
                <w:bCs/>
                <w:color w:val="000000"/>
                <w:sz w:val="20"/>
                <w:szCs w:val="20"/>
              </w:rPr>
              <w:t>合计</w:t>
            </w:r>
          </w:p>
        </w:tc>
        <w:tc>
          <w:tcPr>
            <w:tcW w:w="8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5000" w:type="dxa"/>
            <w:hMerge w:val="continue"/>
            <w:shd w:color="auto" w:fill="DCDCDC"/>
            <w:vAlign w:val="center"/>
          </w:tcPr>
          <w:p>
            <w:pPr>
              <w:spacing w:before="0" w:after="3" w:lineRule="auto"/>
              <w:jc w:val="center"/>
            </w:pPr>
            <w:r>
              <w:rPr>
                <w:rFonts w:hint="eastAsia" w:ascii="宋体" w:hAnsi="宋体"/>
                <w:b/>
                <w:bCs/>
                <w:color w:val="000000"/>
                <w:sz w:val="20"/>
                <w:szCs w:val="20"/>
              </w:rPr>
              <w:t/>
            </w:r>
          </w:p>
        </w:tc>
        <w:tc>
          <w:tcPr>
            <w:tcW w:w="800" w:type="dxa"/>
            <w:vAlign w:val="center"/>
          </w:tcPr>
          <w:p>
            <w:pPr>
              <w:spacing w:before="0" w:after="3" w:lineRule="auto"/>
              <w:jc w:val="center"/>
            </w:pPr>
            <w:r>
              <w:rPr>
                <w:rFonts w:hint="eastAsia" w:ascii="宋体" w:hAnsi="宋体"/>
                <w:bCs/>
                <w:color w:val="000000"/>
                <w:sz w:val="22"/>
                <w:szCs w:val="22"/>
              </w:rPr>
              <w:t>100.0</w:t>
            </w:r>
          </w:p>
        </w:tc>
        <w:tc>
          <w:tcPr>
            <w:tcW w:w="800" w:type="dxa"/>
            <w:vAlign w:val="center"/>
          </w:tcPr>
          <w:p>
            <w:pPr>
              <w:spacing w:before="0" w:after="3" w:lineRule="auto"/>
              <w:jc w:val="center"/>
            </w:pPr>
            <w:r>
              <w:rPr>
                <w:rFonts w:hint="eastAsia" w:ascii="宋体" w:hAnsi="宋体"/>
                <w:bCs/>
                <w:color w:val="000000"/>
                <w:sz w:val="22"/>
                <w:szCs w:val="22"/>
              </w:rPr>
              <w:t>95.0</w:t>
            </w:r>
          </w:p>
        </w:tc>
      </w:tr>
    </w:tbl>
    <w:sectPr>
      <w:pgSz w:w="11907" w:h="16839" w:code="9"/>
      <w:pgMar w:top="500" w:right="1440" w:bottom="100" w:left="1440"/>
    </w:sectPr>
  </w:body>
</w:document>
</file>

<file path=word/settings.xml><?xml version="1.0" encoding="utf-8"?>
<w:setting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mc:Ignorable="">
  <w:compat>
    <w:compatSetting w:name="overrideTableStyleFontSizeAndJustification" w:uri="http://schemas.microsoft.com/office/word" w:val="1"/>
  </w:compat>
</w:settings>
</file>

<file path=word/styles.xml><?xml version="1.0" encoding="utf-8"?>
<w:styles xmlns:w="http://schemas.openxmlformats.org/wordprocessingml/2006/main" xmlns:m="http://schemas.openxmlformats.org/officeDocument/2006/math" xmlns:r="http://schemas.openxmlformats.org/officeDocument/2006/relationships"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wp14="http://schemas.microsoft.com/office/word/2010/wordprocessingDrawing" xmlns:ns32="http://schemas.openxmlformats.org/drawingml/2006/compatibility" xmlns:ns33="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qFormat/>
    <w:rsid w:val="004A3277"/>
  </w:style>
  <w:style w:type="paragraph" w:styleId="Heading1">
    <w:name w:val="heading 1"/>
    <w:basedOn w:val="Normal"/>
    <w:next w:val="Normal"/>
    <w:link w:val="Heading1Char"/>
    <w:uiPriority w:val="9"/>
    <w:qFormat/>
    <w:rsid w:val="00841CD9"/>
    <w:pPr>
      <w:keepNext/>
      <w:keepLines/>
      <w:spacing w:before="480"/>
      <w:outlineLvl w:val="0"/>
    </w:pPr>
    <w:rPr>
      <w:rFonts w:asciiTheme="majorHAnsi" w:hAnsiTheme="majorHAnsi" w:eastAsiaTheme="majorEastAsia"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heme="majorHAnsi" w:hAnsiTheme="majorHAnsi" w:eastAsiaTheme="majorEastAsia" w:cstheme="majorBidi"/>
      <w:b/>
      <w:bCs/>
      <w:color w:val="4F81BD" w:themeColor="accent1"/>
      <w:sz w:val="26"/>
      <w:szCs w:val="26"/>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heme="majorHAnsi" w:hAnsiTheme="majorHAnsi" w:eastAsiaTheme="majorEastAsia" w:cstheme="majorBidi"/>
      <w:b/>
      <w:bCs/>
      <w:color w:val="4F81BD" w:themeColor="accent1"/>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heme="majorHAnsi" w:hAnsiTheme="majorHAnsi" w:eastAsiaTheme="majorEastAsia" w:cstheme="majorBidi"/>
      <w:b/>
      <w:bCs/>
      <w:i/>
      <w:iCs/>
      <w:color w:val="4F81BD" w:themeColor="accent1"/>
    </w:rPr>
  </w:style>
  <w:style w:type="character" w:styleId="DefaultParagraphFont" w:default="true">
    <w:name w:val="Default Paragraph Font"/>
    <w:uiPriority w:val="1"/>
    <w:semiHidden/>
    <w:unhideWhenUsed/>
  </w:style>
  <w:style w:type="paragraph" w:styleId="Header">
    <w:name w:val="header"/>
    <w:basedOn w:val="Normal"/>
    <w:link w:val="HeaderChar"/>
    <w:uiPriority w:val="99"/>
    <w:unhideWhenUsed/>
    <w:rsid w:val="00841CD9"/>
    <w:pPr>
      <w:tabs>
        <w:tab w:val="center" w:pos="4680"/>
        <w:tab w:val="right" w:pos="9360"/>
      </w:tabs>
    </w:pPr>
  </w:style>
  <w:style w:type="character" w:styleId="HeaderChar" w:customStyle="true">
    <w:name w:val="Header Char"/>
    <w:basedOn w:val="DefaultParagraphFont"/>
    <w:link w:val="Header"/>
    <w:uiPriority w:val="99"/>
    <w:rsid w:val="00841CD9"/>
  </w:style>
  <w:style w:type="character" w:styleId="Heading1Char" w:customStyle="true">
    <w:name w:val="Heading 1 Char"/>
    <w:basedOn w:val="DefaultParagraphFont"/>
    <w:link w:val="Heading1"/>
    <w:uiPriority w:val="9"/>
    <w:rsid w:val="00841CD9"/>
    <w:rPr>
      <w:rFonts w:asciiTheme="majorHAnsi" w:hAnsiTheme="majorHAnsi" w:eastAsiaTheme="majorEastAsia" w:cstheme="majorBidi"/>
      <w:b/>
      <w:bCs/>
      <w:color w:val="365F91" w:themeColor="accent1" w:themeShade="BF"/>
      <w:sz w:val="28"/>
      <w:szCs w:val="28"/>
    </w:rPr>
  </w:style>
  <w:style w:type="character" w:styleId="Heading2Char" w:customStyle="true">
    <w:name w:val="Heading 2 Char"/>
    <w:basedOn w:val="DefaultParagraphFont"/>
    <w:link w:val="Heading2"/>
    <w:uiPriority w:val="9"/>
    <w:rsid w:val="00841CD9"/>
    <w:rPr>
      <w:rFonts w:asciiTheme="majorHAnsi" w:hAnsiTheme="majorHAnsi" w:eastAsiaTheme="majorEastAsia" w:cstheme="majorBidi"/>
      <w:b/>
      <w:bCs/>
      <w:color w:val="4F81BD" w:themeColor="accent1"/>
      <w:sz w:val="26"/>
      <w:szCs w:val="26"/>
    </w:rPr>
  </w:style>
  <w:style w:type="character" w:styleId="Heading3Char" w:customStyle="true">
    <w:name w:val="Heading 3 Char"/>
    <w:basedOn w:val="DefaultParagraphFont"/>
    <w:link w:val="Heading3"/>
    <w:uiPriority w:val="9"/>
    <w:rsid w:val="00841CD9"/>
    <w:rPr>
      <w:rFonts w:asciiTheme="majorHAnsi" w:hAnsiTheme="majorHAnsi" w:eastAsiaTheme="majorEastAsia" w:cstheme="majorBidi"/>
      <w:b/>
      <w:bCs/>
      <w:color w:val="4F81BD" w:themeColor="accent1"/>
    </w:rPr>
  </w:style>
  <w:style w:type="character" w:styleId="Heading4Char" w:customStyle="true">
    <w:name w:val="Heading 4 Char"/>
    <w:basedOn w:val="DefaultParagraphFont"/>
    <w:link w:val="Heading4"/>
    <w:uiPriority w:val="9"/>
    <w:rsid w:val="00841CD9"/>
    <w:rPr>
      <w:rFonts w:asciiTheme="majorHAnsi" w:hAnsiTheme="majorHAnsi" w:eastAsiaTheme="majorEastAsia" w:cstheme="majorBidi"/>
      <w:b/>
      <w:bCs/>
      <w:i/>
      <w:iCs/>
      <w:color w:val="4F81BD" w:themeColor="accent1"/>
    </w:rPr>
  </w:style>
  <w:style w:type="paragraph" w:styleId="NormalIndent">
    <w:name w:val="Normal Indent"/>
    <w:basedOn w:val="Normal"/>
    <w:uiPriority w:val="99"/>
    <w:unhideWhenUsed/>
    <w:rsid w:val="00841CD9"/>
    <w:pPr>
      <w:ind w:left="720"/>
    </w:pPr>
  </w:style>
  <w:style w:type="paragraph" w:styleId="Subtitle">
    <w:name w:val="Subtitle"/>
    <w:basedOn w:val="Normal"/>
    <w:next w:val="Normal"/>
    <w:link w:val="SubtitleChar"/>
    <w:uiPriority w:val="11"/>
    <w:qFormat/>
    <w:rsid w:val="00841CD9"/>
    <w:pPr>
      <w:numPr>
        <w:ilvl w:val="1"/>
      </w:numPr>
      <w:ind w:left="86"/>
    </w:pPr>
    <w:rPr>
      <w:rFonts w:asciiTheme="majorHAnsi" w:hAnsiTheme="majorHAnsi" w:eastAsiaTheme="majorEastAsia" w:cstheme="majorBidi"/>
      <w:i/>
      <w:iCs/>
      <w:color w:val="4F81BD" w:themeColor="accent1"/>
      <w:spacing w:val="15"/>
      <w:sz w:val="24"/>
      <w:szCs w:val="24"/>
    </w:rPr>
  </w:style>
  <w:style w:type="character" w:styleId="SubtitleChar" w:customStyle="true">
    <w:name w:val="Subtitle Char"/>
    <w:basedOn w:val="DefaultParagraphFont"/>
    <w:link w:val="Subtitle"/>
    <w:uiPriority w:val="11"/>
    <w:rsid w:val="00841CD9"/>
    <w:rPr>
      <w:rFonts w:asciiTheme="majorHAnsi" w:hAnsiTheme="majorHAnsi" w:eastAsiaTheme="majorEastAsia" w:cstheme="majorBidi"/>
      <w:i/>
      <w:iCs/>
      <w:color w:val="4F81BD" w:themeColor="accent1"/>
      <w:spacing w:val="15"/>
      <w:sz w:val="24"/>
      <w:szCs w:val="24"/>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heme="majorHAnsi" w:hAnsiTheme="majorHAnsi" w:eastAsiaTheme="majorEastAsia" w:cstheme="majorBidi"/>
      <w:color w:val="17365D" w:themeColor="text2" w:themeShade="BF"/>
      <w:spacing w:val="5"/>
      <w:kern w:val="28"/>
      <w:sz w:val="52"/>
      <w:szCs w:val="52"/>
    </w:rPr>
  </w:style>
  <w:style w:type="character" w:styleId="TitleChar" w:customStyle="true">
    <w:name w:val="Title Char"/>
    <w:basedOn w:val="DefaultParagraphFont"/>
    <w:link w:val="Title"/>
    <w:uiPriority w:val="10"/>
    <w:rsid w:val="00841CD9"/>
    <w:rPr>
      <w:rFonts w:asciiTheme="majorHAnsi" w:hAnsiTheme="majorHAnsi" w:eastAsiaTheme="majorEastAsia" w:cstheme="majorBidi"/>
      <w:color w:val="17365D" w:themeColor="text2" w:themeShade="BF"/>
      <w:spacing w:val="5"/>
      <w:kern w:val="28"/>
      <w:sz w:val="52"/>
      <w:szCs w:val="52"/>
    </w:rPr>
  </w:style>
  <w:style w:type="character" w:styleId="Emphasis">
    <w:name w:val="Emphasis"/>
    <w:basedOn w:val="DefaultParagraphFont"/>
    <w:uiPriority w:val="20"/>
    <w:qFormat/>
    <w:rsid w:val="00D1197D"/>
    <w:rPr>
      <w:i/>
      <w:iCs/>
    </w:rPr>
  </w:style>
  <w:style w:type="character" w:styleId="Hyperlink">
    <w:name w:val="Hyperlink"/>
    <w:basedOn w:val="DefaultParagraphFont"/>
    <w:uiPriority w:val="99"/>
    <w:unhideWhenUsed/>
    <w:rPr>
      <w:color w:val="0000FF" w:themeColor="hyperlink"/>
      <w:u w:val="single"/>
    </w:rPr>
  </w:style>
  <w:style w:type="table" w:styleId="TableGrid">
    <w:name w:val="Table Grid"/>
    <w:basedOn w:val="TableNormal"/>
    <w:uiPriority w:val="59"/>
    <w:pPr>
      <w:spacing w:after="0" w:line="240" w:lineRule="auto"/>
    </w:p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b/>
      <w:bCs/>
      <w:color w:val="4F81BD" w:themeColor="accent1"/>
      <w:sz w:val="18"/>
      <w:szCs w:val="18"/>
    </w:rPr>
  </w:style>
</w:styles>
</file>

<file path=word/_rels/document.xml.rels><?xml version="1.0" encoding="UTF-8" standalone="yes"?>
<Relationships xmlns="http://schemas.openxmlformats.org/package/2006/relationships">
    <Relationship Target="styles.xml" Type="http://schemas.openxmlformats.org/officeDocument/2006/relationships/styles" Id="rId1"/>
    <Relationship Target="settings.xml" Type="http://schemas.openxmlformats.org/officeDocument/2006/relationships/settings" Id="rId2"/>
    <Relationship Target="media/document_image_rId3.jpeg" Type="http://schemas.openxmlformats.org/officeDocument/2006/relationships/image" Id="rId3"/>
    <Relationship Target="media/document_image_rId4.jpeg" Type="http://schemas.openxmlformats.org/officeDocument/2006/relationships/image" Id="rId4"/>
</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