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d56aa7f5b4bf9" /><Relationship Type="http://schemas.openxmlformats.org/package/2006/relationships/metadata/core-properties" Target="/docProps/core.xml" Id="Ra862cc6f477e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</w:sectPr>
    <w:p>
      <w:pPr>
        <w:jc w:val="center"/>
      </w:pPr>
      <w:r>
        <w:t>规定性指标</w:t>
      </w:r>
    </w:p>
    <w:tbl>
      <w:tblPr>
        <w:tblStyle w:val="TableGrid"/>
        <w:tblW w:w="15655.9998321533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850"/>
        <w:gridCol w:w="1900"/>
        <w:gridCol w:w="7827.9998779296875"/>
        <w:gridCol w:w="1177.9999542236328"/>
        <w:gridCol w:w="1900"/>
      </w:tblGrid>
      <w:tr>
        <w:tc>
          <w:tcPr>
            <w:vAlign w:val="center"/>
            <w:shd w:val="clear" w:color="auto" w:fill="DEDEDE"/>
          </w:tcPr>
          <w:p>
            <w:pPr/>
            <w:r>
              <w:t>检查项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计算值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标准要求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结论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可否性能权衡</w:t>
            </w: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 xml:space="preserve"> 体形系数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0.24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s≤0.40 [体形系数应符合表4.3.1的规定]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⊙主要房间通风开口面积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卧室、起居室、书房的通风开口面积不应小于房间地面面积的1/20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 xml:space="preserve"> 厨房通风开口面积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厨房外窗的通风开口面积不应小于房间地面面积的10%，且不得小于0.6㎡；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不需要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 xml:space="preserve"> 卫生间通风开口面积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无通风换气装置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 xml:space="preserve">卫生间的通风开口面积不应小于房间地面面积的1/20，不能满足应设有通风换气装置 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不需要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⊙屋顶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K应满足表5.1.1-3的规定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⊙外墙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K=1.13; D=2.94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K≤1.20[K应满足表5.1.1-3的规定]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⊙挑空楼板构造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K应满足表5.1.1-3的规定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 xml:space="preserve"> 分户墙构造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无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K≤1.5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不需要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 xml:space="preserve"> 分户楼板构造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无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K≤1.8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不需要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⊙供暖空调房间通外室外的门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K≤2.5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⊙外窗热工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⊙凸窗板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不需要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 xml:space="preserve"> 封闭阳台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封闭阳台应满足《四川省居住建筑节能设计标准》DB51/5027-2019第5.1.10的规定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无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 xml:space="preserve"> 结论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</w:tbl>
    <w:p>
      <w:pPr>
        <w:jc w:val="center"/>
      </w:pP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ca6b3e06d48b5" /><Relationship Type="http://schemas.openxmlformats.org/officeDocument/2006/relationships/numbering" Target="/word/numbering.xml" Id="Rd89948dac6a843ee" /><Relationship Type="http://schemas.openxmlformats.org/officeDocument/2006/relationships/settings" Target="/word/settings.xml" Id="R0c9fef0b9a3c4224" 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ybx</dc:creator>
  <cp:lastModifiedBy>ybx</cp:lastModifiedBy>
  <cp:revision>1</cp:revision>
  <dc:title>节能检查-规定性指标</dc:title>
</cp:coreProperties>
</file>