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CBD5" w14:textId="738B4E74" w:rsidR="00EA2843" w:rsidRPr="00EA2843" w:rsidRDefault="00EA2843" w:rsidP="00EA2843">
      <w:pPr>
        <w:jc w:val="center"/>
        <w:rPr>
          <w:sz w:val="30"/>
          <w:szCs w:val="30"/>
        </w:rPr>
      </w:pPr>
      <w:r w:rsidRPr="00EA2843">
        <w:rPr>
          <w:b/>
          <w:bCs/>
          <w:sz w:val="30"/>
          <w:szCs w:val="30"/>
        </w:rPr>
        <w:t>建筑照明功率密度计算分析报告</w:t>
      </w:r>
    </w:p>
    <w:p w14:paraId="6577B18C" w14:textId="77777777" w:rsidR="00EA2843" w:rsidRPr="00EA2843" w:rsidRDefault="00EA2843" w:rsidP="00EA2843">
      <w:r w:rsidRPr="00EA2843">
        <w:pict w14:anchorId="26B9496F">
          <v:rect id="_x0000_i1067" style="width:0;height:0" o:hralign="center" o:hrstd="t" o:hrnoshade="t" o:hr="t" fillcolor="#0d0d0d" stroked="f"/>
        </w:pict>
      </w:r>
    </w:p>
    <w:p w14:paraId="3BE33BC6" w14:textId="77777777" w:rsidR="00EA2843" w:rsidRPr="00EA2843" w:rsidRDefault="00EA2843" w:rsidP="00EA2843">
      <w:r w:rsidRPr="00EA2843">
        <w:rPr>
          <w:b/>
          <w:bCs/>
        </w:rPr>
        <w:t>1. 简介</w:t>
      </w:r>
    </w:p>
    <w:p w14:paraId="1778F4B2" w14:textId="77777777" w:rsidR="00EA2843" w:rsidRPr="00EA2843" w:rsidRDefault="00EA2843" w:rsidP="00EA2843">
      <w:r w:rsidRPr="00EA2843">
        <w:t>本报告旨在对大型绿色建筑博览会的照明功率密度进行计算分析，以评估照明系统的能效水平和节能潜力。通过分析照明需求和建筑特性，确定合适的照明功率密度，为设计和改进照明系统提供参考。</w:t>
      </w:r>
    </w:p>
    <w:p w14:paraId="16501B5F" w14:textId="77777777" w:rsidR="00EA2843" w:rsidRPr="00EA2843" w:rsidRDefault="00EA2843" w:rsidP="00EA2843">
      <w:r w:rsidRPr="00EA2843">
        <w:pict w14:anchorId="2D42E045">
          <v:rect id="_x0000_i1068" style="width:0;height:0" o:hralign="center" o:hrstd="t" o:hrnoshade="t" o:hr="t" fillcolor="#0d0d0d" stroked="f"/>
        </w:pict>
      </w:r>
    </w:p>
    <w:p w14:paraId="1A36C2A9" w14:textId="77777777" w:rsidR="00EA2843" w:rsidRPr="00EA2843" w:rsidRDefault="00EA2843" w:rsidP="00EA2843">
      <w:r w:rsidRPr="00EA2843">
        <w:rPr>
          <w:b/>
          <w:bCs/>
        </w:rPr>
        <w:t>2. 背景</w:t>
      </w:r>
    </w:p>
    <w:p w14:paraId="41D69B3F" w14:textId="77777777" w:rsidR="00EA2843" w:rsidRPr="00EA2843" w:rsidRDefault="00EA2843" w:rsidP="00EA2843">
      <w:r w:rsidRPr="00EA2843">
        <w:t>大型绿色建筑博览会是一个涵盖多个建筑展示区域的综合性展览活动。作为展示绿色建筑技术和创新的平台，博览会的照明系统需要符合节能环保的原则。</w:t>
      </w:r>
    </w:p>
    <w:p w14:paraId="610E8F29" w14:textId="77777777" w:rsidR="00EA2843" w:rsidRPr="00EA2843" w:rsidRDefault="00EA2843" w:rsidP="00EA2843">
      <w:r w:rsidRPr="00EA2843">
        <w:pict w14:anchorId="79A292B3">
          <v:rect id="_x0000_i1069" style="width:0;height:0" o:hralign="center" o:hrstd="t" o:hrnoshade="t" o:hr="t" fillcolor="#0d0d0d" stroked="f"/>
        </w:pict>
      </w:r>
    </w:p>
    <w:p w14:paraId="0696F87B" w14:textId="77777777" w:rsidR="00EA2843" w:rsidRPr="00EA2843" w:rsidRDefault="00EA2843" w:rsidP="00EA2843">
      <w:r w:rsidRPr="00EA2843">
        <w:rPr>
          <w:b/>
          <w:bCs/>
        </w:rPr>
        <w:t>3. 数据收集与分析</w:t>
      </w:r>
    </w:p>
    <w:p w14:paraId="68C73F54" w14:textId="77777777" w:rsidR="00EA2843" w:rsidRPr="00EA2843" w:rsidRDefault="00EA2843" w:rsidP="00EA2843">
      <w:pPr>
        <w:numPr>
          <w:ilvl w:val="0"/>
          <w:numId w:val="1"/>
        </w:numPr>
      </w:pPr>
      <w:r w:rsidRPr="00EA2843">
        <w:rPr>
          <w:b/>
          <w:bCs/>
        </w:rPr>
        <w:t>建筑类型</w:t>
      </w:r>
      <w:r w:rsidRPr="00EA2843">
        <w:t>: 展览馆、会议中心、户外展示区等。</w:t>
      </w:r>
    </w:p>
    <w:p w14:paraId="3ED55FA5" w14:textId="77777777" w:rsidR="00EA2843" w:rsidRPr="00EA2843" w:rsidRDefault="00EA2843" w:rsidP="00EA2843">
      <w:pPr>
        <w:numPr>
          <w:ilvl w:val="0"/>
          <w:numId w:val="1"/>
        </w:numPr>
      </w:pPr>
      <w:r w:rsidRPr="00EA2843">
        <w:rPr>
          <w:b/>
          <w:bCs/>
        </w:rPr>
        <w:t>建筑面积</w:t>
      </w:r>
      <w:r w:rsidRPr="00EA2843">
        <w:t>: 总展览面积为100,000平方米。</w:t>
      </w:r>
    </w:p>
    <w:p w14:paraId="1AC30686" w14:textId="77777777" w:rsidR="00EA2843" w:rsidRPr="00EA2843" w:rsidRDefault="00EA2843" w:rsidP="00EA2843">
      <w:pPr>
        <w:numPr>
          <w:ilvl w:val="0"/>
          <w:numId w:val="1"/>
        </w:numPr>
      </w:pPr>
      <w:r w:rsidRPr="00EA2843">
        <w:rPr>
          <w:b/>
          <w:bCs/>
        </w:rPr>
        <w:t>功能分区</w:t>
      </w:r>
      <w:r w:rsidRPr="00EA2843">
        <w:t>: 包括展览区、会议区、休息区、室外展示区等。</w:t>
      </w:r>
    </w:p>
    <w:p w14:paraId="46DE0464" w14:textId="77777777" w:rsidR="00EA2843" w:rsidRPr="00EA2843" w:rsidRDefault="00EA2843" w:rsidP="00EA2843">
      <w:pPr>
        <w:numPr>
          <w:ilvl w:val="0"/>
          <w:numId w:val="1"/>
        </w:numPr>
      </w:pPr>
      <w:r w:rsidRPr="00EA2843">
        <w:rPr>
          <w:b/>
          <w:bCs/>
        </w:rPr>
        <w:t>照明需求</w:t>
      </w:r>
      <w:r w:rsidRPr="00EA2843">
        <w:t>: 不同功能区域的照明需求根据活动安排和参展商需求确定。</w:t>
      </w:r>
    </w:p>
    <w:p w14:paraId="4E5B55A1" w14:textId="77777777" w:rsidR="00EA2843" w:rsidRPr="00EA2843" w:rsidRDefault="00EA2843" w:rsidP="00EA2843">
      <w:r w:rsidRPr="00EA2843">
        <w:pict w14:anchorId="6CE2E2D9">
          <v:rect id="_x0000_i1070" style="width:0;height:0" o:hralign="center" o:hrstd="t" o:hrnoshade="t" o:hr="t" fillcolor="#0d0d0d" stroked="f"/>
        </w:pict>
      </w:r>
    </w:p>
    <w:p w14:paraId="20F0F182" w14:textId="77777777" w:rsidR="00EA2843" w:rsidRPr="00EA2843" w:rsidRDefault="00EA2843" w:rsidP="00EA2843">
      <w:r w:rsidRPr="00EA2843">
        <w:rPr>
          <w:b/>
          <w:bCs/>
        </w:rPr>
        <w:t>4. 计算方法</w:t>
      </w:r>
    </w:p>
    <w:p w14:paraId="566DD0E8" w14:textId="77777777" w:rsidR="00EA2843" w:rsidRPr="00EA2843" w:rsidRDefault="00EA2843" w:rsidP="00EA2843">
      <w:r w:rsidRPr="00EA2843">
        <w:t>照明功率密度（LPD）计算公式如下：</w:t>
      </w:r>
    </w:p>
    <w:p w14:paraId="4DF43576" w14:textId="209686B0" w:rsidR="00EA2843" w:rsidRPr="00EA2843" w:rsidRDefault="00EA2843" w:rsidP="00EA2843">
      <w:r>
        <w:rPr>
          <w:rFonts w:ascii="Malgun Gothic" w:hAnsi="Malgun Gothic" w:cs="Malgun Gothic"/>
        </w:rPr>
        <w:t>LPD</w:t>
      </w:r>
      <w:r w:rsidRPr="00EA2843">
        <w:t>=总照明功率</w:t>
      </w:r>
      <w:r>
        <w:rPr>
          <w:rFonts w:hint="eastAsia"/>
        </w:rPr>
        <w:t>/</w:t>
      </w:r>
      <w:r w:rsidRPr="00EA2843">
        <w:t>建筑面积</w:t>
      </w:r>
    </w:p>
    <w:p w14:paraId="2CB3E043" w14:textId="77777777" w:rsidR="00EA2843" w:rsidRPr="00EA2843" w:rsidRDefault="00EA2843" w:rsidP="00EA2843">
      <w:r w:rsidRPr="00EA2843">
        <w:pict w14:anchorId="5725888E">
          <v:rect id="_x0000_i1071" style="width:0;height:0" o:hralign="center" o:hrstd="t" o:hrnoshade="t" o:hr="t" fillcolor="#0d0d0d" stroked="f"/>
        </w:pict>
      </w:r>
    </w:p>
    <w:p w14:paraId="0BAF2F81" w14:textId="77777777" w:rsidR="00EA2843" w:rsidRPr="00EA2843" w:rsidRDefault="00EA2843" w:rsidP="00EA2843">
      <w:r w:rsidRPr="00EA2843">
        <w:rPr>
          <w:b/>
          <w:bCs/>
        </w:rPr>
        <w:t>5. 计算结果</w:t>
      </w:r>
    </w:p>
    <w:p w14:paraId="5ABE0E13" w14:textId="77777777" w:rsidR="00EA2843" w:rsidRPr="00EA2843" w:rsidRDefault="00EA2843" w:rsidP="00EA2843">
      <w:pPr>
        <w:numPr>
          <w:ilvl w:val="0"/>
          <w:numId w:val="2"/>
        </w:numPr>
      </w:pPr>
      <w:r w:rsidRPr="00EA2843">
        <w:rPr>
          <w:b/>
          <w:bCs/>
        </w:rPr>
        <w:t>总照明功率</w:t>
      </w:r>
      <w:r w:rsidRPr="00EA2843">
        <w:t>: 根据各功能区域的照明需求和照明设备安装情况计算得出。</w:t>
      </w:r>
    </w:p>
    <w:p w14:paraId="482EE12B" w14:textId="77777777" w:rsidR="00EA2843" w:rsidRPr="00EA2843" w:rsidRDefault="00EA2843" w:rsidP="00EA2843">
      <w:pPr>
        <w:numPr>
          <w:ilvl w:val="0"/>
          <w:numId w:val="2"/>
        </w:numPr>
      </w:pPr>
      <w:r w:rsidRPr="00EA2843">
        <w:rPr>
          <w:b/>
          <w:bCs/>
        </w:rPr>
        <w:t>建筑面积</w:t>
      </w:r>
      <w:r w:rsidRPr="00EA2843">
        <w:t>: 总展览面积为100,000平方米。</w:t>
      </w:r>
    </w:p>
    <w:p w14:paraId="49810889" w14:textId="77777777" w:rsidR="00EA2843" w:rsidRPr="00EA2843" w:rsidRDefault="00EA2843" w:rsidP="00EA2843">
      <w:pPr>
        <w:numPr>
          <w:ilvl w:val="0"/>
          <w:numId w:val="2"/>
        </w:numPr>
      </w:pPr>
      <w:r w:rsidRPr="00EA2843">
        <w:rPr>
          <w:b/>
          <w:bCs/>
        </w:rPr>
        <w:t>照明功率密度</w:t>
      </w:r>
      <w:r w:rsidRPr="00EA2843">
        <w:t>: 根据计算公式得出的建筑照明功率密度值。</w:t>
      </w:r>
    </w:p>
    <w:p w14:paraId="76314868" w14:textId="77777777" w:rsidR="00EA2843" w:rsidRPr="00EA2843" w:rsidRDefault="00EA2843" w:rsidP="00EA2843">
      <w:pPr>
        <w:numPr>
          <w:ilvl w:val="0"/>
          <w:numId w:val="2"/>
        </w:numPr>
      </w:pPr>
      <w:r w:rsidRPr="00EA2843">
        <w:rPr>
          <w:b/>
          <w:bCs/>
        </w:rPr>
        <w:t>建筑照明功率密度标准对比</w:t>
      </w:r>
      <w:r w:rsidRPr="00EA2843">
        <w:t>: 将计算结果与相关行业标准（如LEED、BREEAM等）进行对比分析。</w:t>
      </w:r>
    </w:p>
    <w:p w14:paraId="5BB3B969" w14:textId="77777777" w:rsidR="00EA2843" w:rsidRPr="00EA2843" w:rsidRDefault="00EA2843" w:rsidP="00EA2843">
      <w:r w:rsidRPr="00EA2843">
        <w:pict w14:anchorId="55F494D0">
          <v:rect id="_x0000_i1072" style="width:0;height:0" o:hralign="center" o:hrstd="t" o:hrnoshade="t" o:hr="t" fillcolor="#0d0d0d" stroked="f"/>
        </w:pict>
      </w:r>
    </w:p>
    <w:p w14:paraId="18DCE643" w14:textId="77777777" w:rsidR="00EA2843" w:rsidRPr="00EA2843" w:rsidRDefault="00EA2843" w:rsidP="00EA2843">
      <w:r w:rsidRPr="00EA2843">
        <w:rPr>
          <w:b/>
          <w:bCs/>
        </w:rPr>
        <w:t>6. 分析与结论</w:t>
      </w:r>
    </w:p>
    <w:p w14:paraId="6D7A4824" w14:textId="77777777" w:rsidR="00EA2843" w:rsidRPr="00EA2843" w:rsidRDefault="00EA2843" w:rsidP="00EA2843">
      <w:pPr>
        <w:numPr>
          <w:ilvl w:val="0"/>
          <w:numId w:val="3"/>
        </w:numPr>
      </w:pPr>
      <w:r w:rsidRPr="00EA2843">
        <w:rPr>
          <w:b/>
          <w:bCs/>
        </w:rPr>
        <w:t>节能潜力</w:t>
      </w:r>
      <w:r w:rsidRPr="00EA2843">
        <w:t>: 根据照明功率密度的计算结果和标准对比，分析博览会的照明系统的能效水平和节能潜力。</w:t>
      </w:r>
    </w:p>
    <w:p w14:paraId="072E88F0" w14:textId="77777777" w:rsidR="00EA2843" w:rsidRPr="00EA2843" w:rsidRDefault="00EA2843" w:rsidP="00EA2843">
      <w:pPr>
        <w:numPr>
          <w:ilvl w:val="0"/>
          <w:numId w:val="3"/>
        </w:numPr>
      </w:pPr>
      <w:r w:rsidRPr="00EA2843">
        <w:rPr>
          <w:b/>
          <w:bCs/>
        </w:rPr>
        <w:t>改进建议</w:t>
      </w:r>
      <w:r w:rsidRPr="00EA2843">
        <w:t>: 提出改进建议，包括采用LED等高效照明设备、优化照明布局、设置智能照明控制系统等，以提高能效和节能水平。</w:t>
      </w:r>
    </w:p>
    <w:p w14:paraId="1F481C68" w14:textId="77777777" w:rsidR="00EA2843" w:rsidRPr="00EA2843" w:rsidRDefault="00EA2843" w:rsidP="00EA2843">
      <w:r w:rsidRPr="00EA2843">
        <w:pict w14:anchorId="22FDD89D">
          <v:rect id="_x0000_i1073" style="width:0;height:0" o:hralign="center" o:hrstd="t" o:hrnoshade="t" o:hr="t" fillcolor="#0d0d0d" stroked="f"/>
        </w:pict>
      </w:r>
    </w:p>
    <w:p w14:paraId="2C76849E" w14:textId="77777777" w:rsidR="00EA2843" w:rsidRPr="00EA2843" w:rsidRDefault="00EA2843" w:rsidP="00EA2843">
      <w:r w:rsidRPr="00EA2843">
        <w:rPr>
          <w:b/>
          <w:bCs/>
        </w:rPr>
        <w:t>7. 结论</w:t>
      </w:r>
    </w:p>
    <w:p w14:paraId="59CA7C23" w14:textId="77777777" w:rsidR="00EA2843" w:rsidRPr="00EA2843" w:rsidRDefault="00EA2843" w:rsidP="00EA2843">
      <w:r w:rsidRPr="00EA2843">
        <w:t>大型绿色建筑博览会的建筑照明功率密度计算分析表明照明系统的能效水平，并提供了改进建议，以实现能源节约和环境保护的目标。</w:t>
      </w:r>
    </w:p>
    <w:p w14:paraId="03D188A1" w14:textId="77777777" w:rsidR="00472A08" w:rsidRPr="00EA2843" w:rsidRDefault="00472A08"/>
    <w:sectPr w:rsidR="00472A08" w:rsidRPr="00EA2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52A"/>
    <w:multiLevelType w:val="multilevel"/>
    <w:tmpl w:val="910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72037E"/>
    <w:multiLevelType w:val="multilevel"/>
    <w:tmpl w:val="50E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C81974"/>
    <w:multiLevelType w:val="multilevel"/>
    <w:tmpl w:val="4E1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649453">
    <w:abstractNumId w:val="1"/>
  </w:num>
  <w:num w:numId="2" w16cid:durableId="250624475">
    <w:abstractNumId w:val="0"/>
  </w:num>
  <w:num w:numId="3" w16cid:durableId="147995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F5"/>
    <w:rsid w:val="00042CF2"/>
    <w:rsid w:val="00093D85"/>
    <w:rsid w:val="001B70C7"/>
    <w:rsid w:val="002069BE"/>
    <w:rsid w:val="00472A08"/>
    <w:rsid w:val="007318F5"/>
    <w:rsid w:val="00931BBA"/>
    <w:rsid w:val="00B405DC"/>
    <w:rsid w:val="00C63E09"/>
    <w:rsid w:val="00D238BA"/>
    <w:rsid w:val="00DB7E77"/>
    <w:rsid w:val="00EA2843"/>
    <w:rsid w:val="00FE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4EA2"/>
  <w15:chartTrackingRefBased/>
  <w15:docId w15:val="{AD7BD038-AD86-4D8C-9A98-4720FC3C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DB7E77"/>
    <w:rPr>
      <w:rFonts w:eastAsia="Times New Roman"/>
      <w:sz w:val="18"/>
    </w:rPr>
    <w:tblPr>
      <w:tblBorders>
        <w:top w:val="single" w:sz="12" w:space="0" w:color="auto"/>
        <w:bottom w:val="single" w:sz="12" w:space="0" w:color="auto"/>
      </w:tblBorders>
    </w:tblPr>
    <w:tblStylePr w:type="firstRow">
      <w:tblPr/>
      <w:tcPr>
        <w:tcBorders>
          <w:bottom w:val="single" w:sz="6"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408395">
      <w:bodyDiv w:val="1"/>
      <w:marLeft w:val="0"/>
      <w:marRight w:val="0"/>
      <w:marTop w:val="0"/>
      <w:marBottom w:val="0"/>
      <w:divBdr>
        <w:top w:val="none" w:sz="0" w:space="0" w:color="auto"/>
        <w:left w:val="none" w:sz="0" w:space="0" w:color="auto"/>
        <w:bottom w:val="none" w:sz="0" w:space="0" w:color="auto"/>
        <w:right w:val="none" w:sz="0" w:space="0" w:color="auto"/>
      </w:divBdr>
    </w:div>
    <w:div w:id="18268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dc:description/>
  <cp:lastModifiedBy>Li Xiang</cp:lastModifiedBy>
  <cp:revision>2</cp:revision>
  <dcterms:created xsi:type="dcterms:W3CDTF">2024-03-01T14:46:00Z</dcterms:created>
  <dcterms:modified xsi:type="dcterms:W3CDTF">2024-03-01T14:47:00Z</dcterms:modified>
</cp:coreProperties>
</file>