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line="224" w:lineRule="auto"/>
        <w:ind w:left="2201"/>
        <w:outlineLvl w:val="0"/>
        <w:rPr>
          <w:sz w:val="43"/>
          <w:szCs w:val="43"/>
        </w:rPr>
      </w:pPr>
      <w:r>
        <w:rPr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建筑声环境相关分析</w:t>
      </w:r>
    </w:p>
    <w:p>
      <w:pPr>
        <w:pStyle w:val="2"/>
        <w:spacing w:before="182" w:line="220" w:lineRule="auto"/>
        <w:ind w:left="29"/>
        <w:rPr>
          <w:sz w:val="28"/>
          <w:szCs w:val="28"/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一、工程概况</w:t>
      </w:r>
    </w:p>
    <w:p>
      <w:pPr>
        <w:pStyle w:val="2"/>
        <w:spacing w:before="169" w:line="268" w:lineRule="auto"/>
        <w:ind w:left="24" w:firstLine="420"/>
        <w:jc w:val="both"/>
        <w:rPr>
          <w:rFonts w:hint="eastAsia" w:eastAsia="宋体"/>
          <w:lang w:eastAsia="zh-CN"/>
        </w:rPr>
      </w:pPr>
      <w:r>
        <w:rPr>
          <w:spacing w:val="4"/>
        </w:rPr>
        <w:t>大连海洋大学獐子岛教学楼，坐落在黑石礁海滨，地理位置</w:t>
      </w:r>
      <w:r>
        <w:rPr>
          <w:spacing w:val="3"/>
        </w:rPr>
        <w:t>靠海，多风，采用自然通风。</w:t>
      </w:r>
      <w:r>
        <w:t xml:space="preserve"> </w:t>
      </w:r>
      <w:r>
        <w:rPr>
          <w:spacing w:val="4"/>
        </w:rPr>
        <w:t>由德国建筑设计师苏斯特教授设计，于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2005 </w:t>
      </w:r>
      <w:r>
        <w:rPr>
          <w:spacing w:val="4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4"/>
        </w:rPr>
        <w:t>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17  </w:t>
      </w:r>
      <w:r>
        <w:rPr>
          <w:spacing w:val="4"/>
        </w:rPr>
        <w:t>日开工建设，同年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9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4"/>
        </w:rPr>
        <w:t>月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25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4"/>
        </w:rPr>
        <w:t>日竣工并</w:t>
      </w:r>
      <w:r>
        <w:t xml:space="preserve">  </w:t>
      </w:r>
      <w:r>
        <w:rPr>
          <w:spacing w:val="7"/>
        </w:rPr>
        <w:t>投入使用，建筑共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6 </w:t>
      </w:r>
      <w:r>
        <w:rPr>
          <w:spacing w:val="7"/>
        </w:rPr>
        <w:t>层，共有教室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72 </w:t>
      </w:r>
      <w:r>
        <w:rPr>
          <w:spacing w:val="7"/>
        </w:rPr>
        <w:t>个，总建筑面积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21630 </w:t>
      </w:r>
      <w:r>
        <w:rPr>
          <w:spacing w:val="7"/>
        </w:rPr>
        <w:t>平方米</w:t>
      </w:r>
      <w:r>
        <w:rPr>
          <w:spacing w:val="6"/>
        </w:rPr>
        <w:t>，总资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4200  </w:t>
      </w:r>
      <w:r>
        <w:rPr>
          <w:spacing w:val="6"/>
        </w:rPr>
        <w:t>万元</w:t>
      </w:r>
      <w:r>
        <w:rPr>
          <w:rFonts w:hint="eastAsia"/>
          <w:spacing w:val="6"/>
          <w:lang w:eastAsia="zh-CN"/>
        </w:rPr>
        <w:t>。</w:t>
      </w:r>
      <w:bookmarkStart w:id="0" w:name="_GoBack"/>
      <w:bookmarkEnd w:id="0"/>
    </w:p>
    <w:p>
      <w:pPr>
        <w:spacing w:line="375" w:lineRule="auto"/>
        <w:rPr>
          <w:rFonts w:ascii="Arial"/>
          <w:sz w:val="21"/>
        </w:rPr>
      </w:pPr>
    </w:p>
    <w:p>
      <w:pPr>
        <w:spacing w:line="3025" w:lineRule="exact"/>
        <w:ind w:firstLine="1951"/>
      </w:pPr>
      <w:r>
        <w:rPr>
          <w:position w:val="-60"/>
        </w:rPr>
        <w:drawing>
          <wp:inline distT="0" distB="0" distL="0" distR="0">
            <wp:extent cx="2863850" cy="19202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4434" cy="19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16" w:line="219" w:lineRule="auto"/>
        <w:ind w:left="29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二、建筑基本信息设置</w:t>
      </w:r>
    </w:p>
    <w:p>
      <w:pPr>
        <w:pStyle w:val="2"/>
        <w:spacing w:before="170" w:line="258" w:lineRule="auto"/>
        <w:ind w:left="24" w:right="70" w:firstLine="418"/>
      </w:pPr>
      <w:r>
        <w:rPr>
          <w:spacing w:val="7"/>
        </w:rPr>
        <w:t>本报告根据建筑设计图纸等相关资料建立室外声环境模拟分析模型，主要包括参评目标</w:t>
      </w:r>
      <w:r>
        <w:rPr>
          <w:spacing w:val="8"/>
        </w:rPr>
        <w:t xml:space="preserve"> </w:t>
      </w:r>
      <w:r>
        <w:rPr>
          <w:spacing w:val="9"/>
        </w:rPr>
        <w:t>建筑、周边建筑、声屏障、道路（包括轨道交通）和绿化带等对象。</w:t>
      </w:r>
    </w:p>
    <w:p>
      <w:pPr>
        <w:pStyle w:val="2"/>
        <w:spacing w:before="65" w:line="227" w:lineRule="auto"/>
        <w:ind w:left="443"/>
      </w:pPr>
      <w:r>
        <w:rPr>
          <w:spacing w:val="8"/>
        </w:rPr>
        <w:t>本项目噪声分析模型如下图所示：</w:t>
      </w:r>
    </w:p>
    <w:p>
      <w:pPr>
        <w:spacing w:line="379" w:lineRule="auto"/>
        <w:rPr>
          <w:rFonts w:ascii="Arial"/>
          <w:sz w:val="21"/>
        </w:rPr>
      </w:pPr>
    </w:p>
    <w:p>
      <w:pPr>
        <w:spacing w:line="5820" w:lineRule="exact"/>
        <w:ind w:firstLine="2058"/>
      </w:pPr>
      <w:r>
        <w:rPr>
          <w:position w:val="-116"/>
        </w:rPr>
        <w:drawing>
          <wp:inline distT="0" distB="0" distL="0" distR="0">
            <wp:extent cx="2675890" cy="3695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6144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21" w:line="219" w:lineRule="auto"/>
        <w:ind w:left="3396"/>
        <w:rPr>
          <w:sz w:val="18"/>
          <w:szCs w:val="18"/>
        </w:rPr>
      </w:pPr>
      <w:r>
        <w:rPr>
          <w:spacing w:val="-4"/>
          <w:sz w:val="18"/>
          <w:szCs w:val="18"/>
        </w:rPr>
        <w:t>图</w:t>
      </w:r>
      <w:r>
        <w:rPr>
          <w:spacing w:val="-33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4"/>
          <w:sz w:val="18"/>
          <w:szCs w:val="18"/>
        </w:rPr>
        <w:t>3.2-1</w:t>
      </w:r>
      <w:r>
        <w:rPr>
          <w:rFonts w:ascii="Calibri" w:hAnsi="Calibri" w:eastAsia="Calibri" w:cs="Calibri"/>
          <w:spacing w:val="7"/>
          <w:sz w:val="18"/>
          <w:szCs w:val="18"/>
        </w:rPr>
        <w:t xml:space="preserve">  </w:t>
      </w:r>
      <w:r>
        <w:rPr>
          <w:spacing w:val="-4"/>
          <w:sz w:val="18"/>
          <w:szCs w:val="18"/>
        </w:rPr>
        <w:t>模型平面图</w:t>
      </w:r>
    </w:p>
    <w:p>
      <w:pPr>
        <w:spacing w:line="219" w:lineRule="auto"/>
        <w:rPr>
          <w:sz w:val="18"/>
          <w:szCs w:val="18"/>
        </w:rPr>
        <w:sectPr>
          <w:pgSz w:w="11906" w:h="16839"/>
          <w:pgMar w:top="1431" w:right="1731" w:bottom="0" w:left="1785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（一）室外声环境设置情况</w:t>
      </w: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452"/>
      </w:pPr>
      <w:r>
        <w:rPr>
          <w:spacing w:val="7"/>
        </w:rPr>
        <w:t>（1）室外道路设置</w:t>
      </w:r>
    </w:p>
    <w:p>
      <w:pPr>
        <w:spacing w:line="404" w:lineRule="auto"/>
        <w:rPr>
          <w:rFonts w:ascii="Arial"/>
          <w:sz w:val="21"/>
        </w:rPr>
      </w:pPr>
    </w:p>
    <w:p>
      <w:pPr>
        <w:spacing w:line="3893" w:lineRule="exact"/>
        <w:ind w:firstLine="1869"/>
      </w:pPr>
      <w:r>
        <w:rPr>
          <w:position w:val="-77"/>
        </w:rPr>
        <w:drawing>
          <wp:inline distT="0" distB="0" distL="0" distR="0">
            <wp:extent cx="2918460" cy="24714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247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452"/>
      </w:pPr>
      <w:r>
        <w:rPr>
          <w:spacing w:val="7"/>
        </w:rPr>
        <w:t>（2）室外其他噪音</w:t>
      </w:r>
    </w:p>
    <w:p>
      <w:pPr>
        <w:pStyle w:val="2"/>
        <w:spacing w:before="64" w:line="228" w:lineRule="auto"/>
        <w:ind w:left="444"/>
      </w:pPr>
      <w:r>
        <w:rPr>
          <w:spacing w:val="8"/>
        </w:rPr>
        <w:t>教学楼北方有小广场，南方有喷泉广场；</w:t>
      </w:r>
    </w:p>
    <w:p>
      <w:pPr>
        <w:pStyle w:val="2"/>
        <w:spacing w:before="65" w:line="228" w:lineRule="auto"/>
        <w:ind w:left="444"/>
      </w:pPr>
      <w:r>
        <w:rPr>
          <w:spacing w:val="8"/>
        </w:rPr>
        <w:t>教学楼正南方有海浪，且海浪噪音是白天 60 分贝，晚上 50 分贝。</w:t>
      </w: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（二）室内声环境设置情况</w:t>
      </w: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66" w:line="258" w:lineRule="auto"/>
        <w:ind w:left="25" w:right="15" w:firstLine="418"/>
      </w:pPr>
      <w:r>
        <w:rPr>
          <w:spacing w:val="7"/>
        </w:rPr>
        <w:t>六楼大教室为语音教室，小教室为普通教室，其余五楼大教室为普通教室，小教室为教 师休息室或学生活动室。</w:t>
      </w: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78" w:line="218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（三）评价依据</w:t>
      </w: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66" w:line="312" w:lineRule="exact"/>
        <w:ind w:left="457"/>
      </w:pPr>
      <w:r>
        <w:rPr>
          <w:spacing w:val="6"/>
          <w:position w:val="7"/>
        </w:rPr>
        <w:t>1.《绿色建筑评价标准》</w:t>
      </w:r>
      <w:r>
        <w:rPr>
          <w:position w:val="7"/>
        </w:rPr>
        <w:t>GB</w:t>
      </w:r>
      <w:r>
        <w:rPr>
          <w:spacing w:val="6"/>
          <w:position w:val="7"/>
        </w:rPr>
        <w:t xml:space="preserve"> 50378-2019</w:t>
      </w:r>
    </w:p>
    <w:p>
      <w:pPr>
        <w:pStyle w:val="2"/>
        <w:spacing w:line="226" w:lineRule="auto"/>
        <w:ind w:left="444"/>
      </w:pPr>
      <w:r>
        <w:rPr>
          <w:spacing w:val="7"/>
        </w:rPr>
        <w:t>2.《绿色建筑评价技术细则》2019</w:t>
      </w:r>
    </w:p>
    <w:p>
      <w:pPr>
        <w:pStyle w:val="2"/>
        <w:spacing w:before="68" w:line="228" w:lineRule="auto"/>
        <w:ind w:left="446"/>
      </w:pPr>
      <w:r>
        <w:rPr>
          <w:spacing w:val="7"/>
        </w:rPr>
        <w:t>3.《声环境质量标准》</w:t>
      </w:r>
      <w:r>
        <w:t>GB</w:t>
      </w:r>
      <w:r>
        <w:rPr>
          <w:spacing w:val="7"/>
        </w:rPr>
        <w:t xml:space="preserve"> 3096-20</w:t>
      </w:r>
      <w:r>
        <w:rPr>
          <w:spacing w:val="6"/>
        </w:rPr>
        <w:t>08</w:t>
      </w:r>
    </w:p>
    <w:p>
      <w:pPr>
        <w:pStyle w:val="2"/>
        <w:spacing w:before="64" w:line="226" w:lineRule="auto"/>
        <w:ind w:left="441"/>
      </w:pPr>
      <w:r>
        <w:rPr>
          <w:spacing w:val="8"/>
        </w:rPr>
        <w:t>4.《环境影响评价技术导则 声环境》</w:t>
      </w:r>
      <w:r>
        <w:t>HJ</w:t>
      </w:r>
      <w:r>
        <w:rPr>
          <w:spacing w:val="8"/>
        </w:rPr>
        <w:t>2.4-2009</w:t>
      </w:r>
    </w:p>
    <w:p>
      <w:pPr>
        <w:pStyle w:val="2"/>
        <w:spacing w:before="67" w:line="312" w:lineRule="exact"/>
        <w:ind w:left="446"/>
      </w:pPr>
      <w:r>
        <w:rPr>
          <w:spacing w:val="7"/>
          <w:position w:val="7"/>
        </w:rPr>
        <w:t>5.《声环境功能区划分技术规范》</w:t>
      </w:r>
      <w:r>
        <w:rPr>
          <w:position w:val="7"/>
        </w:rPr>
        <w:t>GB</w:t>
      </w:r>
      <w:r>
        <w:rPr>
          <w:spacing w:val="7"/>
          <w:position w:val="7"/>
        </w:rPr>
        <w:t>/T 15190-2014</w:t>
      </w:r>
    </w:p>
    <w:p>
      <w:pPr>
        <w:pStyle w:val="2"/>
        <w:spacing w:before="1" w:line="226" w:lineRule="auto"/>
        <w:ind w:left="443"/>
      </w:pPr>
      <w:r>
        <w:rPr>
          <w:spacing w:val="8"/>
        </w:rPr>
        <w:t>6.《民用建筑绿色性能计算标准》</w:t>
      </w:r>
      <w:r>
        <w:t>JGJ</w:t>
      </w:r>
      <w:r>
        <w:rPr>
          <w:spacing w:val="8"/>
        </w:rPr>
        <w:t>/T 44</w:t>
      </w:r>
      <w:r>
        <w:rPr>
          <w:spacing w:val="7"/>
        </w:rPr>
        <w:t>9-2018</w:t>
      </w:r>
    </w:p>
    <w:p>
      <w:pPr>
        <w:pStyle w:val="2"/>
        <w:spacing w:before="67" w:line="228" w:lineRule="auto"/>
        <w:ind w:left="447"/>
      </w:pPr>
      <w:r>
        <w:rPr>
          <w:spacing w:val="7"/>
        </w:rPr>
        <w:t>7.《民用建筑隔声设计规范》</w:t>
      </w:r>
      <w:r>
        <w:t>GB</w:t>
      </w:r>
      <w:r>
        <w:rPr>
          <w:spacing w:val="7"/>
        </w:rPr>
        <w:t xml:space="preserve"> 50118-2010</w:t>
      </w:r>
    </w:p>
    <w:p>
      <w:pPr>
        <w:pStyle w:val="2"/>
        <w:spacing w:before="65" w:line="312" w:lineRule="exact"/>
        <w:ind w:left="443"/>
      </w:pPr>
      <w:r>
        <w:rPr>
          <w:spacing w:val="7"/>
          <w:position w:val="7"/>
        </w:rPr>
        <w:t>8.《建筑隔声评价标准》</w:t>
      </w:r>
      <w:r>
        <w:rPr>
          <w:position w:val="7"/>
        </w:rPr>
        <w:t>GB</w:t>
      </w:r>
      <w:r>
        <w:rPr>
          <w:spacing w:val="7"/>
          <w:position w:val="7"/>
        </w:rPr>
        <w:t>/T 50121-2005</w:t>
      </w:r>
    </w:p>
    <w:p>
      <w:pPr>
        <w:pStyle w:val="2"/>
        <w:spacing w:line="228" w:lineRule="auto"/>
        <w:ind w:left="443"/>
      </w:pPr>
      <w:r>
        <w:rPr>
          <w:spacing w:val="7"/>
        </w:rPr>
        <w:t>9.《建筑声学设计手册》</w:t>
      </w:r>
    </w:p>
    <w:p>
      <w:pPr>
        <w:pStyle w:val="2"/>
        <w:spacing w:before="64" w:line="228" w:lineRule="auto"/>
        <w:ind w:left="457"/>
      </w:pPr>
      <w:r>
        <w:rPr>
          <w:spacing w:val="7"/>
        </w:rPr>
        <w:t>10.《建筑隔声设计-空气声隔声技术》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81" w:line="219" w:lineRule="auto"/>
        <w:ind w:left="25"/>
        <w:outlineLvl w:val="0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三、獐子岛教学楼基本模拟情况</w:t>
      </w:r>
    </w:p>
    <w:p>
      <w:pPr>
        <w:spacing w:line="387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（一）室外声环境模拟情况</w:t>
      </w: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65" w:line="227" w:lineRule="auto"/>
        <w:ind w:left="452"/>
      </w:pPr>
      <w:r>
        <w:rPr>
          <w:spacing w:val="7"/>
        </w:rPr>
        <w:t>（1）场地噪声分布</w:t>
      </w:r>
    </w:p>
    <w:p>
      <w:pPr>
        <w:spacing w:before="153" w:line="346" w:lineRule="exact"/>
        <w:ind w:firstLine="1946"/>
      </w:pPr>
      <w:r>
        <w:rPr>
          <w:position w:val="-6"/>
        </w:rPr>
        <w:drawing>
          <wp:inline distT="0" distB="0" distL="0" distR="0">
            <wp:extent cx="2819400" cy="2190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8" w:lineRule="auto"/>
        <w:rPr>
          <w:rFonts w:ascii="Arial"/>
          <w:sz w:val="21"/>
        </w:rPr>
      </w:pPr>
    </w:p>
    <w:p>
      <w:pPr>
        <w:spacing w:line="4990" w:lineRule="exact"/>
        <w:ind w:firstLine="1742"/>
      </w:pPr>
      <w:r>
        <w:rPr>
          <w:position w:val="-99"/>
        </w:rPr>
        <w:drawing>
          <wp:inline distT="0" distB="0" distL="0" distR="0">
            <wp:extent cx="3077845" cy="31680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8479" cy="316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4" w:line="230" w:lineRule="auto"/>
        <w:ind w:left="2896"/>
        <w:rPr>
          <w:sz w:val="14"/>
          <w:szCs w:val="14"/>
        </w:rPr>
      </w:pPr>
      <w:r>
        <w:rPr>
          <w:spacing w:val="6"/>
          <w:sz w:val="14"/>
          <w:szCs w:val="14"/>
        </w:rPr>
        <w:t>场地</w:t>
      </w:r>
      <w:r>
        <w:rPr>
          <w:spacing w:val="-7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1.5m</w:t>
      </w:r>
      <w:r>
        <w:rPr>
          <w:spacing w:val="-22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高度处声压级分布图（昼间）</w:t>
      </w:r>
    </w:p>
    <w:p>
      <w:pPr>
        <w:spacing w:line="381" w:lineRule="auto"/>
        <w:rPr>
          <w:rFonts w:ascii="Arial"/>
          <w:sz w:val="21"/>
        </w:rPr>
      </w:pPr>
    </w:p>
    <w:p>
      <w:pPr>
        <w:spacing w:before="1" w:line="4956" w:lineRule="exact"/>
        <w:ind w:firstLine="1749"/>
      </w:pPr>
      <w:r>
        <w:rPr>
          <w:position w:val="-99"/>
        </w:rPr>
        <w:drawing>
          <wp:inline distT="0" distB="0" distL="0" distR="0">
            <wp:extent cx="3070860" cy="31464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314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1" w:line="230" w:lineRule="auto"/>
        <w:ind w:left="2858"/>
        <w:rPr>
          <w:sz w:val="14"/>
          <w:szCs w:val="14"/>
        </w:rPr>
      </w:pPr>
      <w:r>
        <w:rPr>
          <w:spacing w:val="6"/>
          <w:sz w:val="14"/>
          <w:szCs w:val="14"/>
        </w:rPr>
        <w:t>场地</w:t>
      </w:r>
      <w:r>
        <w:rPr>
          <w:spacing w:val="-7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1.5m</w:t>
      </w:r>
      <w:r>
        <w:rPr>
          <w:spacing w:val="-19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高度处声压级分布图（夜间）</w:t>
      </w:r>
    </w:p>
    <w:p>
      <w:pPr>
        <w:spacing w:line="230" w:lineRule="auto"/>
        <w:rPr>
          <w:sz w:val="14"/>
          <w:szCs w:val="14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87" w:line="4832" w:lineRule="exact"/>
        <w:ind w:firstLine="1346"/>
      </w:pPr>
      <w:r>
        <w:rPr>
          <w:position w:val="-96"/>
        </w:rPr>
        <w:drawing>
          <wp:inline distT="0" distB="0" distL="0" distR="0">
            <wp:extent cx="3583940" cy="306768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4448" cy="306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63" w:line="230" w:lineRule="auto"/>
        <w:ind w:left="3196"/>
        <w:rPr>
          <w:sz w:val="14"/>
          <w:szCs w:val="14"/>
        </w:rPr>
      </w:pPr>
      <w:r>
        <w:rPr>
          <w:spacing w:val="8"/>
          <w:sz w:val="14"/>
          <w:szCs w:val="14"/>
        </w:rPr>
        <w:t>场地噪声分布俯瞰图（昼间）</w:t>
      </w:r>
    </w:p>
    <w:p>
      <w:pPr>
        <w:spacing w:line="441" w:lineRule="auto"/>
        <w:rPr>
          <w:rFonts w:ascii="Arial"/>
          <w:sz w:val="21"/>
        </w:rPr>
      </w:pPr>
    </w:p>
    <w:p>
      <w:pPr>
        <w:spacing w:line="4838" w:lineRule="exact"/>
        <w:ind w:firstLine="1346"/>
      </w:pPr>
      <w:r>
        <w:rPr>
          <w:position w:val="-96"/>
        </w:rPr>
        <w:drawing>
          <wp:inline distT="0" distB="0" distL="0" distR="0">
            <wp:extent cx="3582670" cy="307213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2923" cy="3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58" w:line="230" w:lineRule="auto"/>
        <w:ind w:left="3196"/>
        <w:rPr>
          <w:sz w:val="14"/>
          <w:szCs w:val="14"/>
        </w:rPr>
      </w:pPr>
      <w:r>
        <w:rPr>
          <w:spacing w:val="8"/>
          <w:sz w:val="14"/>
          <w:szCs w:val="14"/>
        </w:rPr>
        <w:t>场地噪声分布俯瞰图（夜间）</w:t>
      </w: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65" w:line="227" w:lineRule="auto"/>
        <w:ind w:left="452"/>
      </w:pPr>
      <w:r>
        <w:rPr>
          <w:spacing w:val="8"/>
        </w:rPr>
        <w:t>（2）噪声敏感建筑噪声分布情况</w:t>
      </w: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66" w:line="276" w:lineRule="auto"/>
        <w:ind w:left="22" w:right="15" w:firstLine="421"/>
        <w:jc w:val="both"/>
      </w:pPr>
      <w:r>
        <w:rPr>
          <w:spacing w:val="6"/>
        </w:rPr>
        <w:t>参评建筑昼间和夜间沿底轮廓线</w:t>
      </w:r>
      <w:r>
        <w:rPr>
          <w:spacing w:val="-21"/>
        </w:rPr>
        <w:t xml:space="preserve"> </w:t>
      </w:r>
      <w:r>
        <w:rPr>
          <w:spacing w:val="6"/>
        </w:rPr>
        <w:t>1.5</w:t>
      </w:r>
      <w:r>
        <w:rPr>
          <w:spacing w:val="-40"/>
        </w:rPr>
        <w:t xml:space="preserve"> </w:t>
      </w:r>
      <w:r>
        <w:rPr>
          <w:spacing w:val="6"/>
        </w:rPr>
        <w:t>米分析高度处噪声分布情况，每栋参评建筑物俯视</w:t>
      </w:r>
      <w:r>
        <w:t xml:space="preserve"> </w:t>
      </w:r>
      <w:r>
        <w:rPr>
          <w:spacing w:val="7"/>
        </w:rPr>
        <w:t>图圆圈内上下两个数字分别表示该建筑的昼间和夜间最大噪声值，红色填充代表该建筑昼间</w:t>
      </w:r>
      <w:r>
        <w:rPr>
          <w:spacing w:val="14"/>
        </w:rPr>
        <w:t xml:space="preserve"> </w:t>
      </w:r>
      <w:r>
        <w:rPr>
          <w:spacing w:val="7"/>
        </w:rPr>
        <w:t>或夜间噪声值至少有一项超过三类声功能区限值，黄色填充代表该建筑物昼间或夜间噪声值</w:t>
      </w:r>
      <w:r>
        <w:rPr>
          <w:spacing w:val="14"/>
        </w:rPr>
        <w:t xml:space="preserve"> </w:t>
      </w:r>
      <w:r>
        <w:rPr>
          <w:spacing w:val="7"/>
        </w:rPr>
        <w:t>均小于等于三类声功能区噪声限值，绿色填充代表该建筑物昼间或夜间噪声值均小于等于二</w:t>
      </w:r>
      <w:r>
        <w:rPr>
          <w:spacing w:val="14"/>
        </w:rPr>
        <w:t xml:space="preserve"> </w:t>
      </w:r>
      <w:r>
        <w:rPr>
          <w:spacing w:val="8"/>
        </w:rPr>
        <w:t>类声功能区噪声限值。</w:t>
      </w:r>
    </w:p>
    <w:p>
      <w:pPr>
        <w:pStyle w:val="2"/>
        <w:spacing w:before="65" w:line="227" w:lineRule="auto"/>
        <w:ind w:left="443"/>
      </w:pPr>
      <w:r>
        <w:rPr>
          <w:spacing w:val="9"/>
        </w:rPr>
        <w:t>本项目室外昼间和夜间噪声分析及达标情况如下：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78" w:line="3293" w:lineRule="exact"/>
        <w:ind w:firstLine="1017"/>
      </w:pPr>
      <w:r>
        <w:rPr>
          <w:position w:val="-65"/>
        </w:rPr>
        <w:drawing>
          <wp:inline distT="0" distB="0" distL="0" distR="0">
            <wp:extent cx="3998595" cy="20904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98975" cy="209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51" w:line="230" w:lineRule="auto"/>
        <w:ind w:left="2260"/>
        <w:rPr>
          <w:sz w:val="14"/>
          <w:szCs w:val="14"/>
        </w:rPr>
      </w:pPr>
      <w:r>
        <w:rPr>
          <w:spacing w:val="7"/>
          <w:sz w:val="14"/>
          <w:szCs w:val="14"/>
        </w:rPr>
        <w:t>参评建筑附近区域</w:t>
      </w:r>
      <w:r>
        <w:rPr>
          <w:spacing w:val="-4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1.5m</w:t>
      </w:r>
      <w:r>
        <w:rPr>
          <w:spacing w:val="-19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高度处声压级平面分布图（昼间）</w:t>
      </w:r>
    </w:p>
    <w:p>
      <w:pPr>
        <w:spacing w:before="204" w:line="3134" w:lineRule="exact"/>
        <w:ind w:firstLine="1168"/>
      </w:pPr>
      <w:r>
        <w:rPr>
          <w:position w:val="-62"/>
        </w:rPr>
        <w:drawing>
          <wp:inline distT="0" distB="0" distL="0" distR="0">
            <wp:extent cx="3808095" cy="19900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08475" cy="199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0" w:line="230" w:lineRule="auto"/>
        <w:ind w:left="2260"/>
        <w:rPr>
          <w:sz w:val="14"/>
          <w:szCs w:val="14"/>
        </w:rPr>
      </w:pPr>
      <w:r>
        <w:rPr>
          <w:spacing w:val="7"/>
          <w:sz w:val="14"/>
          <w:szCs w:val="14"/>
        </w:rPr>
        <w:t>参评建筑附近区域</w:t>
      </w:r>
      <w:r>
        <w:rPr>
          <w:spacing w:val="-4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1.5m</w:t>
      </w:r>
      <w:r>
        <w:rPr>
          <w:spacing w:val="-19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高度处声压级平面分布图（夜间）</w:t>
      </w: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66" w:line="258" w:lineRule="auto"/>
        <w:ind w:left="24" w:right="16" w:firstLine="419"/>
      </w:pPr>
      <w:r>
        <w:rPr>
          <w:spacing w:val="7"/>
        </w:rPr>
        <w:t xml:space="preserve">参评建筑昼间和夜间沿立面噪声分布情况，在每个计算立面上用圆圈标识出该面噪声最 </w:t>
      </w:r>
      <w:r>
        <w:rPr>
          <w:spacing w:val="8"/>
        </w:rPr>
        <w:t>大值，昼间和夜间计算情况分别如下：</w:t>
      </w:r>
    </w:p>
    <w:p>
      <w:pPr>
        <w:spacing w:line="376" w:lineRule="auto"/>
        <w:rPr>
          <w:rFonts w:ascii="Arial"/>
          <w:sz w:val="21"/>
        </w:rPr>
      </w:pPr>
    </w:p>
    <w:p>
      <w:pPr>
        <w:spacing w:line="516" w:lineRule="exact"/>
        <w:ind w:firstLine="2361"/>
      </w:pPr>
      <w:r>
        <w:rPr>
          <w:position w:val="-10"/>
        </w:rPr>
        <w:drawing>
          <wp:inline distT="0" distB="0" distL="0" distR="0">
            <wp:extent cx="2558415" cy="3270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8795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4" w:lineRule="auto"/>
        <w:rPr>
          <w:rFonts w:ascii="Arial"/>
          <w:sz w:val="21"/>
        </w:rPr>
      </w:pPr>
    </w:p>
    <w:p>
      <w:pPr>
        <w:spacing w:line="3524" w:lineRule="exact"/>
        <w:ind w:firstLine="2102"/>
      </w:pPr>
      <w:r>
        <w:rPr>
          <w:position w:val="-70"/>
        </w:rPr>
        <w:drawing>
          <wp:inline distT="0" distB="0" distL="0" distR="0">
            <wp:extent cx="2622550" cy="223710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22803" cy="223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2" w:line="230" w:lineRule="auto"/>
        <w:ind w:left="2673"/>
        <w:rPr>
          <w:sz w:val="14"/>
          <w:szCs w:val="14"/>
        </w:rPr>
      </w:pPr>
      <w:r>
        <w:rPr>
          <w:spacing w:val="9"/>
          <w:sz w:val="14"/>
          <w:szCs w:val="14"/>
        </w:rPr>
        <w:t>参评建筑附近区域声压级鸟瞰分布图（昼间）</w:t>
      </w:r>
    </w:p>
    <w:p>
      <w:pPr>
        <w:spacing w:line="230" w:lineRule="auto"/>
        <w:rPr>
          <w:sz w:val="14"/>
          <w:szCs w:val="14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99" w:line="3874" w:lineRule="exact"/>
        <w:ind w:firstLine="2049"/>
      </w:pPr>
      <w:r>
        <w:rPr>
          <w:position w:val="-77"/>
        </w:rPr>
        <w:drawing>
          <wp:inline distT="0" distB="0" distL="0" distR="0">
            <wp:extent cx="2689860" cy="245935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4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73" w:line="230" w:lineRule="auto"/>
        <w:ind w:left="2673"/>
        <w:rPr>
          <w:sz w:val="14"/>
          <w:szCs w:val="14"/>
        </w:rPr>
      </w:pPr>
      <w:r>
        <w:rPr>
          <w:spacing w:val="9"/>
          <w:sz w:val="14"/>
          <w:szCs w:val="14"/>
        </w:rPr>
        <w:t>参评建筑附近区域声压级鸟瞰分布图（夜间）</w:t>
      </w: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65" w:line="258" w:lineRule="auto"/>
        <w:ind w:left="47" w:right="15" w:firstLine="397"/>
      </w:pPr>
      <w:r>
        <w:rPr>
          <w:spacing w:val="7"/>
        </w:rPr>
        <w:t>综合上述分析，对场地内部每栋噪声敏感建筑物达标情况分别进行了判定统计，本项目</w:t>
      </w:r>
      <w:r>
        <w:rPr>
          <w:spacing w:val="6"/>
        </w:rPr>
        <w:t xml:space="preserve"> </w:t>
      </w:r>
      <w:r>
        <w:rPr>
          <w:spacing w:val="7"/>
        </w:rPr>
        <w:t>内部全部参评建筑达标情况汇总如下：</w:t>
      </w:r>
    </w:p>
    <w:p>
      <w:pPr>
        <w:spacing w:line="332" w:lineRule="auto"/>
        <w:rPr>
          <w:rFonts w:ascii="Arial"/>
          <w:sz w:val="21"/>
        </w:rPr>
      </w:pPr>
    </w:p>
    <w:p>
      <w:pPr>
        <w:pStyle w:val="2"/>
        <w:spacing w:before="58" w:line="220" w:lineRule="auto"/>
        <w:ind w:left="3372"/>
        <w:rPr>
          <w:sz w:val="14"/>
          <w:szCs w:val="14"/>
        </w:rPr>
      </w:pPr>
      <w:r>
        <w:rPr>
          <w:spacing w:val="3"/>
          <w:sz w:val="18"/>
          <w:szCs w:val="18"/>
        </w:rPr>
        <w:t xml:space="preserve">参评建筑达标统计                 </w:t>
      </w:r>
      <w:r>
        <w:rPr>
          <w:spacing w:val="3"/>
          <w:sz w:val="14"/>
          <w:szCs w:val="14"/>
        </w:rPr>
        <w:t>单</w:t>
      </w:r>
      <w:r>
        <w:rPr>
          <w:spacing w:val="2"/>
          <w:sz w:val="14"/>
          <w:szCs w:val="14"/>
        </w:rPr>
        <w:t>位：</w:t>
      </w:r>
      <w:r>
        <w:rPr>
          <w:sz w:val="14"/>
          <w:szCs w:val="14"/>
        </w:rPr>
        <w:t>dB</w:t>
      </w:r>
      <w:r>
        <w:rPr>
          <w:spacing w:val="2"/>
          <w:sz w:val="14"/>
          <w:szCs w:val="14"/>
        </w:rPr>
        <w:t>(A)</w:t>
      </w:r>
    </w:p>
    <w:p>
      <w:pPr>
        <w:spacing w:line="30" w:lineRule="exact"/>
      </w:pPr>
    </w:p>
    <w:tbl>
      <w:tblPr>
        <w:tblStyle w:val="5"/>
        <w:tblW w:w="7880" w:type="dxa"/>
        <w:tblInd w:w="2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805"/>
        <w:gridCol w:w="1237"/>
        <w:gridCol w:w="1237"/>
        <w:gridCol w:w="1237"/>
        <w:gridCol w:w="13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058" w:type="dxa"/>
            <w:tcBorders>
              <w:top w:val="single" w:color="000000" w:sz="10" w:space="0"/>
              <w:left w:val="single" w:color="000000" w:sz="10" w:space="0"/>
            </w:tcBorders>
            <w:shd w:val="clear" w:color="auto" w:fill="E6E6E6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604"/>
            </w:pPr>
            <w:r>
              <w:rPr>
                <w:spacing w:val="6"/>
              </w:rPr>
              <w:t>建筑名称</w:t>
            </w:r>
          </w:p>
        </w:tc>
        <w:tc>
          <w:tcPr>
            <w:tcW w:w="805" w:type="dxa"/>
            <w:tcBorders>
              <w:top w:val="single" w:color="000000" w:sz="10" w:space="0"/>
            </w:tcBorders>
            <w:shd w:val="clear" w:color="auto" w:fill="E6E6E6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97"/>
            </w:pPr>
            <w:r>
              <w:rPr>
                <w:spacing w:val="-1"/>
              </w:rPr>
              <w:t>时段</w:t>
            </w:r>
          </w:p>
        </w:tc>
        <w:tc>
          <w:tcPr>
            <w:tcW w:w="1237" w:type="dxa"/>
            <w:tcBorders>
              <w:top w:val="single" w:color="000000" w:sz="10" w:space="0"/>
            </w:tcBorders>
            <w:shd w:val="clear" w:color="auto" w:fill="E6E6E6"/>
            <w:vAlign w:val="top"/>
          </w:tcPr>
          <w:p>
            <w:pPr>
              <w:pStyle w:val="6"/>
              <w:spacing w:before="55" w:line="228" w:lineRule="auto"/>
              <w:ind w:left="153"/>
            </w:pPr>
            <w:r>
              <w:rPr>
                <w:rFonts w:ascii="Calibri" w:hAnsi="Calibri" w:eastAsia="Calibri" w:cs="Calibri"/>
                <w:spacing w:val="2"/>
              </w:rPr>
              <w:t>1.5</w:t>
            </w:r>
            <w:r>
              <w:rPr>
                <w:rFonts w:ascii="Calibri" w:hAnsi="Calibri" w:eastAsia="Calibri" w:cs="Calibri"/>
                <w:spacing w:val="16"/>
                <w:w w:val="101"/>
              </w:rPr>
              <w:t xml:space="preserve"> </w:t>
            </w:r>
            <w:r>
              <w:rPr>
                <w:spacing w:val="2"/>
              </w:rPr>
              <w:t>米高度</w:t>
            </w:r>
          </w:p>
          <w:p>
            <w:pPr>
              <w:pStyle w:val="6"/>
              <w:spacing w:before="65" w:line="228" w:lineRule="auto"/>
              <w:ind w:left="206"/>
            </w:pPr>
            <w:r>
              <w:rPr>
                <w:spacing w:val="4"/>
              </w:rPr>
              <w:t>噪声最大</w:t>
            </w:r>
          </w:p>
          <w:p>
            <w:pPr>
              <w:pStyle w:val="6"/>
              <w:spacing w:before="65" w:line="226" w:lineRule="auto"/>
              <w:ind w:left="513"/>
            </w:pPr>
            <w:r>
              <w:t>值</w:t>
            </w:r>
          </w:p>
        </w:tc>
        <w:tc>
          <w:tcPr>
            <w:tcW w:w="1237" w:type="dxa"/>
            <w:tcBorders>
              <w:top w:val="single" w:color="000000" w:sz="10" w:space="0"/>
            </w:tcBorders>
            <w:shd w:val="clear" w:color="auto" w:fill="E6E6E6"/>
            <w:vAlign w:val="top"/>
          </w:tcPr>
          <w:p>
            <w:pPr>
              <w:pStyle w:val="6"/>
              <w:spacing w:before="211" w:line="228" w:lineRule="auto"/>
              <w:ind w:left="441"/>
            </w:pPr>
            <w:r>
              <w:rPr>
                <w:rFonts w:ascii="Calibri" w:hAnsi="Calibri" w:eastAsia="Calibri" w:cs="Calibri"/>
                <w:spacing w:val="-4"/>
              </w:rPr>
              <w:t>2</w:t>
            </w:r>
            <w:r>
              <w:rPr>
                <w:rFonts w:ascii="Calibri" w:hAnsi="Calibri" w:eastAsia="Calibri" w:cs="Calibri"/>
                <w:spacing w:val="16"/>
              </w:rPr>
              <w:t xml:space="preserve"> </w:t>
            </w:r>
            <w:r>
              <w:rPr>
                <w:spacing w:val="-4"/>
              </w:rPr>
              <w:t>类</w:t>
            </w:r>
          </w:p>
          <w:p>
            <w:pPr>
              <w:pStyle w:val="6"/>
              <w:spacing w:before="64" w:line="228" w:lineRule="auto"/>
              <w:ind w:left="210"/>
            </w:pPr>
            <w:r>
              <w:rPr>
                <w:spacing w:val="4"/>
              </w:rPr>
              <w:t>噪声限值</w:t>
            </w:r>
          </w:p>
        </w:tc>
        <w:tc>
          <w:tcPr>
            <w:tcW w:w="1237" w:type="dxa"/>
            <w:tcBorders>
              <w:top w:val="single" w:color="000000" w:sz="10" w:space="0"/>
            </w:tcBorders>
            <w:shd w:val="clear" w:color="auto" w:fill="E6E6E6"/>
            <w:vAlign w:val="top"/>
          </w:tcPr>
          <w:p>
            <w:pPr>
              <w:pStyle w:val="6"/>
              <w:spacing w:before="211" w:line="228" w:lineRule="auto"/>
              <w:ind w:left="444"/>
            </w:pPr>
            <w:r>
              <w:rPr>
                <w:rFonts w:ascii="Calibri" w:hAnsi="Calibri" w:eastAsia="Calibri" w:cs="Calibri"/>
                <w:spacing w:val="-3"/>
              </w:rPr>
              <w:t>3</w:t>
            </w:r>
            <w:r>
              <w:rPr>
                <w:rFonts w:ascii="Calibri" w:hAnsi="Calibri" w:eastAsia="Calibri" w:cs="Calibri"/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类</w:t>
            </w:r>
          </w:p>
          <w:p>
            <w:pPr>
              <w:pStyle w:val="6"/>
              <w:spacing w:before="64" w:line="228" w:lineRule="auto"/>
              <w:ind w:left="214"/>
            </w:pPr>
            <w:r>
              <w:rPr>
                <w:spacing w:val="4"/>
              </w:rPr>
              <w:t>噪声限值</w:t>
            </w:r>
          </w:p>
        </w:tc>
        <w:tc>
          <w:tcPr>
            <w:tcW w:w="1306" w:type="dxa"/>
            <w:tcBorders>
              <w:top w:val="single" w:color="000000" w:sz="10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pStyle w:val="6"/>
              <w:spacing w:before="211" w:line="312" w:lineRule="exact"/>
              <w:ind w:left="448"/>
            </w:pPr>
            <w:r>
              <w:rPr>
                <w:spacing w:val="4"/>
                <w:position w:val="7"/>
              </w:rPr>
              <w:t>得分</w:t>
            </w:r>
          </w:p>
          <w:p>
            <w:pPr>
              <w:pStyle w:val="6"/>
              <w:spacing w:line="228" w:lineRule="auto"/>
              <w:ind w:left="448"/>
            </w:pPr>
            <w:r>
              <w:rPr>
                <w:spacing w:val="4"/>
              </w:rPr>
              <w:t>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58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28" w:line="228" w:lineRule="auto"/>
              <w:ind w:left="254"/>
              <w:rPr>
                <w:rFonts w:ascii="Calibri" w:hAnsi="Calibri" w:eastAsia="Calibri" w:cs="Calibri"/>
              </w:rPr>
            </w:pPr>
            <w:r>
              <w:rPr>
                <w:spacing w:val="6"/>
              </w:rPr>
              <w:t>室内分析单体</w:t>
            </w:r>
            <w:r>
              <w:rPr>
                <w:spacing w:val="-28"/>
              </w:rPr>
              <w:t xml:space="preserve"> </w:t>
            </w:r>
            <w:r>
              <w:rPr>
                <w:rFonts w:ascii="Calibri" w:hAnsi="Calibri" w:eastAsia="Calibri" w:cs="Calibri"/>
              </w:rPr>
              <w:t>DT</w:t>
            </w:r>
          </w:p>
        </w:tc>
        <w:tc>
          <w:tcPr>
            <w:tcW w:w="805" w:type="dxa"/>
            <w:vAlign w:val="top"/>
          </w:tcPr>
          <w:p>
            <w:pPr>
              <w:pStyle w:val="6"/>
              <w:spacing w:before="63" w:line="220" w:lineRule="auto"/>
              <w:ind w:left="187"/>
            </w:pPr>
            <w:r>
              <w:rPr>
                <w:spacing w:val="5"/>
              </w:rPr>
              <w:t>昼间</w:t>
            </w:r>
          </w:p>
        </w:tc>
        <w:tc>
          <w:tcPr>
            <w:tcW w:w="1237" w:type="dxa"/>
            <w:vAlign w:val="top"/>
          </w:tcPr>
          <w:p>
            <w:pPr>
              <w:spacing w:before="103" w:line="185" w:lineRule="auto"/>
              <w:ind w:left="5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51</w:t>
            </w:r>
          </w:p>
        </w:tc>
        <w:tc>
          <w:tcPr>
            <w:tcW w:w="1237" w:type="dxa"/>
            <w:vAlign w:val="top"/>
          </w:tcPr>
          <w:p>
            <w:pPr>
              <w:spacing w:before="102" w:line="186" w:lineRule="auto"/>
              <w:ind w:left="5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60</w:t>
            </w:r>
          </w:p>
        </w:tc>
        <w:tc>
          <w:tcPr>
            <w:tcW w:w="1237" w:type="dxa"/>
            <w:vAlign w:val="top"/>
          </w:tcPr>
          <w:p>
            <w:pPr>
              <w:spacing w:before="102" w:line="186" w:lineRule="auto"/>
              <w:ind w:left="5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65</w:t>
            </w:r>
          </w:p>
        </w:tc>
        <w:tc>
          <w:tcPr>
            <w:tcW w:w="1306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spacing w:before="270" w:line="186" w:lineRule="auto"/>
              <w:ind w:left="5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58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67" w:line="228" w:lineRule="auto"/>
              <w:ind w:left="191"/>
            </w:pPr>
            <w:r>
              <w:rPr>
                <w:spacing w:val="3"/>
              </w:rPr>
              <w:t>夜间</w:t>
            </w:r>
          </w:p>
        </w:tc>
        <w:tc>
          <w:tcPr>
            <w:tcW w:w="1237" w:type="dxa"/>
            <w:tcBorders>
              <w:bottom w:val="single" w:color="000000" w:sz="10" w:space="0"/>
            </w:tcBorders>
            <w:vAlign w:val="top"/>
          </w:tcPr>
          <w:p>
            <w:pPr>
              <w:spacing w:before="108" w:line="186" w:lineRule="auto"/>
              <w:ind w:left="5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43</w:t>
            </w:r>
          </w:p>
        </w:tc>
        <w:tc>
          <w:tcPr>
            <w:tcW w:w="1237" w:type="dxa"/>
            <w:tcBorders>
              <w:bottom w:val="single" w:color="000000" w:sz="10" w:space="0"/>
            </w:tcBorders>
            <w:vAlign w:val="top"/>
          </w:tcPr>
          <w:p>
            <w:pPr>
              <w:spacing w:before="108" w:line="186" w:lineRule="auto"/>
              <w:ind w:left="5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50</w:t>
            </w:r>
          </w:p>
        </w:tc>
        <w:tc>
          <w:tcPr>
            <w:tcW w:w="1237" w:type="dxa"/>
            <w:tcBorders>
              <w:bottom w:val="single" w:color="000000" w:sz="10" w:space="0"/>
            </w:tcBorders>
            <w:vAlign w:val="top"/>
          </w:tcPr>
          <w:p>
            <w:pPr>
              <w:spacing w:before="110" w:line="184" w:lineRule="auto"/>
              <w:ind w:left="5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55</w:t>
            </w:r>
          </w:p>
        </w:tc>
        <w:tc>
          <w:tcPr>
            <w:tcW w:w="1306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（二）室内声环境情况</w:t>
      </w: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65" w:line="624" w:lineRule="exact"/>
        <w:ind w:left="443"/>
      </w:pPr>
      <w:r>
        <w:rPr>
          <w:spacing w:val="9"/>
          <w:position w:val="32"/>
        </w:rPr>
        <w:t>保留树木减弱声传播，提高围护结构隔声性能。才能更好满足条件。</w:t>
      </w:r>
    </w:p>
    <w:p>
      <w:pPr>
        <w:pStyle w:val="2"/>
        <w:spacing w:before="1" w:line="227" w:lineRule="auto"/>
        <w:ind w:left="452"/>
      </w:pPr>
      <w:r>
        <w:rPr>
          <w:spacing w:val="7"/>
        </w:rPr>
        <w:t>（1）工程构造内维护结构：</w:t>
      </w:r>
    </w:p>
    <w:p>
      <w:pPr>
        <w:spacing w:line="325" w:lineRule="auto"/>
        <w:rPr>
          <w:rFonts w:ascii="Arial"/>
          <w:sz w:val="21"/>
        </w:rPr>
      </w:pPr>
    </w:p>
    <w:p>
      <w:pPr>
        <w:spacing w:before="1" w:line="3741" w:lineRule="exact"/>
        <w:ind w:firstLine="650"/>
      </w:pPr>
      <w:r>
        <w:rPr>
          <w:position w:val="-74"/>
        </w:rPr>
        <w:drawing>
          <wp:inline distT="0" distB="0" distL="0" distR="0">
            <wp:extent cx="4465320" cy="237553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237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41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line="3704" w:lineRule="exact"/>
        <w:ind w:firstLine="688"/>
      </w:pPr>
      <w:r>
        <w:rPr>
          <w:position w:val="-74"/>
        </w:rPr>
        <w:drawing>
          <wp:inline distT="0" distB="0" distL="0" distR="0">
            <wp:extent cx="4417695" cy="235140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18075" cy="235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724" w:lineRule="exact"/>
        <w:ind w:firstLine="669"/>
      </w:pPr>
      <w:r>
        <w:rPr>
          <w:position w:val="-74"/>
        </w:rPr>
        <w:drawing>
          <wp:inline distT="0" distB="0" distL="0" distR="0">
            <wp:extent cx="4441825" cy="236474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42459" cy="236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6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452"/>
      </w:pPr>
      <w:r>
        <w:rPr>
          <w:spacing w:val="7"/>
        </w:rPr>
        <w:t>（2）工程构造外围护结构：</w:t>
      </w:r>
    </w:p>
    <w:p>
      <w:pPr>
        <w:spacing w:line="401" w:lineRule="auto"/>
        <w:rPr>
          <w:rFonts w:ascii="Arial"/>
          <w:sz w:val="21"/>
        </w:rPr>
      </w:pPr>
    </w:p>
    <w:p>
      <w:pPr>
        <w:spacing w:line="3271" w:lineRule="exact"/>
        <w:ind w:firstLine="676"/>
      </w:pPr>
      <w:r>
        <w:rPr>
          <w:position w:val="-65"/>
        </w:rPr>
        <w:drawing>
          <wp:inline distT="0" distB="0" distL="0" distR="0">
            <wp:extent cx="4431665" cy="207708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31791" cy="207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9" w:line="782" w:lineRule="exact"/>
        <w:ind w:firstLine="676"/>
      </w:pPr>
      <w:r>
        <w:rPr>
          <w:position w:val="-15"/>
        </w:rPr>
        <w:drawing>
          <wp:inline distT="0" distB="0" distL="0" distR="0">
            <wp:extent cx="4431665" cy="49657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31791" cy="49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82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04" w:line="3238" w:lineRule="exact"/>
        <w:ind w:firstLine="717"/>
      </w:pPr>
      <w:r>
        <w:rPr>
          <w:position w:val="-64"/>
        </w:rPr>
        <w:drawing>
          <wp:inline distT="0" distB="0" distL="0" distR="0">
            <wp:extent cx="4381500" cy="205549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05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7" w:line="660" w:lineRule="exact"/>
        <w:ind w:firstLine="729"/>
      </w:pPr>
      <w:r>
        <w:rPr>
          <w:position w:val="-13"/>
        </w:rPr>
        <w:drawing>
          <wp:inline distT="0" distB="0" distL="0" distR="0">
            <wp:extent cx="4364355" cy="41910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6473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3233" w:lineRule="exact"/>
        <w:ind w:firstLine="719"/>
      </w:pPr>
      <w:r>
        <w:rPr>
          <w:position w:val="-64"/>
        </w:rPr>
        <w:drawing>
          <wp:inline distT="0" distB="0" distL="0" distR="0">
            <wp:extent cx="4378325" cy="205232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78452" cy="205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line="650" w:lineRule="exact"/>
        <w:ind w:firstLine="705"/>
      </w:pPr>
      <w:r>
        <w:rPr>
          <w:position w:val="-13"/>
        </w:rPr>
        <w:drawing>
          <wp:inline distT="0" distB="0" distL="0" distR="0">
            <wp:extent cx="4396740" cy="41275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41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9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452"/>
      </w:pPr>
      <w:r>
        <w:rPr>
          <w:spacing w:val="9"/>
        </w:rPr>
        <w:t>（3）将建筑构造中内外维护结构完成后进行室内噪声</w:t>
      </w:r>
      <w:r>
        <w:rPr>
          <w:spacing w:val="8"/>
        </w:rPr>
        <w:t>计算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730" w:lineRule="exact"/>
        <w:ind w:firstLine="693"/>
      </w:pPr>
      <w:r>
        <w:rPr>
          <w:position w:val="-74"/>
        </w:rPr>
        <w:drawing>
          <wp:inline distT="0" distB="0" distL="0" distR="0">
            <wp:extent cx="4411345" cy="236791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11979" cy="23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30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452"/>
      </w:pPr>
      <w:r>
        <w:rPr>
          <w:spacing w:val="7"/>
        </w:rPr>
        <w:t>（4）房间边界噪声</w:t>
      </w: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65" w:line="268" w:lineRule="auto"/>
        <w:ind w:left="26" w:right="15" w:firstLine="416"/>
        <w:jc w:val="both"/>
      </w:pPr>
      <w:r>
        <w:rPr>
          <w:spacing w:val="7"/>
        </w:rPr>
        <w:t>本项目通过对参评建筑整栋建筑的分析，确定了主要功能房间中噪声级最不利的房间为</w:t>
      </w:r>
      <w:r>
        <w:rPr>
          <w:spacing w:val="8"/>
        </w:rPr>
        <w:t xml:space="preserve"> 3044</w:t>
      </w:r>
      <w:r>
        <w:rPr>
          <w:spacing w:val="-40"/>
        </w:rPr>
        <w:t xml:space="preserve"> </w:t>
      </w:r>
      <w:r>
        <w:rPr>
          <w:spacing w:val="8"/>
        </w:rPr>
        <w:t>房间,房间类型[休息室]，报告书阐述该房间室内噪声</w:t>
      </w:r>
      <w:r>
        <w:rPr>
          <w:spacing w:val="7"/>
        </w:rPr>
        <w:t>级计算过程，房间所在楼层平面</w:t>
      </w:r>
      <w:r>
        <w:t xml:space="preserve"> </w:t>
      </w:r>
      <w:r>
        <w:rPr>
          <w:spacing w:val="6"/>
        </w:rPr>
        <w:t>图如下图所示：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398" w:lineRule="exact"/>
        <w:ind w:firstLine="902"/>
      </w:pPr>
      <w:r>
        <w:rPr>
          <w:position w:val="-47"/>
        </w:rPr>
        <w:drawing>
          <wp:inline distT="0" distB="0" distL="0" distR="0">
            <wp:extent cx="4144010" cy="152273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44188" cy="152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pStyle w:val="2"/>
        <w:spacing w:before="46" w:line="231" w:lineRule="auto"/>
        <w:ind w:left="3424"/>
        <w:rPr>
          <w:sz w:val="14"/>
          <w:szCs w:val="14"/>
        </w:rPr>
      </w:pPr>
      <w:r>
        <w:rPr>
          <w:spacing w:val="9"/>
          <w:sz w:val="14"/>
          <w:szCs w:val="14"/>
        </w:rPr>
        <w:t>最不利房间楼层平面图</w:t>
      </w:r>
    </w:p>
    <w:p>
      <w:pPr>
        <w:spacing w:line="399" w:lineRule="auto"/>
        <w:rPr>
          <w:rFonts w:ascii="Arial"/>
          <w:sz w:val="21"/>
        </w:rPr>
      </w:pPr>
    </w:p>
    <w:p>
      <w:pPr>
        <w:pStyle w:val="2"/>
        <w:spacing w:before="65" w:line="290" w:lineRule="exact"/>
        <w:ind w:left="442"/>
      </w:pPr>
      <w:r>
        <w:rPr>
          <w:spacing w:val="9"/>
          <w:position w:val="6"/>
        </w:rPr>
        <w:t>通过室外噪声模拟，可获得该房间的室外边界噪声：</w:t>
      </w:r>
    </w:p>
    <w:p>
      <w:pPr>
        <w:pStyle w:val="2"/>
        <w:spacing w:line="227" w:lineRule="auto"/>
        <w:ind w:left="441"/>
      </w:pPr>
      <w:r>
        <w:rPr>
          <w:spacing w:val="5"/>
        </w:rPr>
        <w:t>昼间为</w:t>
      </w:r>
      <w:r>
        <w:rPr>
          <w:spacing w:val="-19"/>
        </w:rPr>
        <w:t xml:space="preserve"> </w:t>
      </w:r>
      <w:r>
        <w:rPr>
          <w:spacing w:val="5"/>
        </w:rPr>
        <w:t>50</w:t>
      </w:r>
      <w:r>
        <w:t>dB</w:t>
      </w:r>
      <w:r>
        <w:rPr>
          <w:spacing w:val="5"/>
        </w:rPr>
        <w:t>(A)， 夜间为</w:t>
      </w:r>
      <w:r>
        <w:rPr>
          <w:spacing w:val="-35"/>
        </w:rPr>
        <w:t xml:space="preserve"> </w:t>
      </w:r>
      <w:r>
        <w:rPr>
          <w:spacing w:val="5"/>
        </w:rPr>
        <w:t>39</w:t>
      </w:r>
      <w:r>
        <w:t>dB</w:t>
      </w:r>
      <w:r>
        <w:rPr>
          <w:spacing w:val="5"/>
        </w:rPr>
        <w:t>(A)。</w:t>
      </w: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65" w:line="268" w:lineRule="auto"/>
        <w:ind w:left="23" w:right="12" w:firstLine="418"/>
        <w:jc w:val="both"/>
      </w:pPr>
      <w:r>
        <w:rPr>
          <w:spacing w:val="7"/>
        </w:rPr>
        <w:t>根据《绿色建筑评价标准》</w:t>
      </w:r>
      <w:r>
        <w:t>GB</w:t>
      </w:r>
      <w:r>
        <w:rPr>
          <w:spacing w:val="7"/>
        </w:rPr>
        <w:t>/T50378-2019</w:t>
      </w:r>
      <w:r>
        <w:rPr>
          <w:spacing w:val="-39"/>
        </w:rPr>
        <w:t xml:space="preserve"> </w:t>
      </w:r>
      <w:r>
        <w:rPr>
          <w:spacing w:val="7"/>
        </w:rPr>
        <w:t>和《民用建筑隔声设计规范》</w:t>
      </w:r>
      <w:r>
        <w:t>GB</w:t>
      </w:r>
      <w:r>
        <w:rPr>
          <w:spacing w:val="7"/>
        </w:rPr>
        <w:t>5011</w:t>
      </w:r>
      <w:r>
        <w:rPr>
          <w:spacing w:val="6"/>
        </w:rPr>
        <w:t>8-201</w:t>
      </w:r>
      <w:r>
        <w:t xml:space="preserve"> </w:t>
      </w:r>
      <w:r>
        <w:rPr>
          <w:spacing w:val="8"/>
        </w:rPr>
        <w:t>0</w:t>
      </w:r>
      <w:r>
        <w:rPr>
          <w:spacing w:val="-34"/>
        </w:rPr>
        <w:t xml:space="preserve"> </w:t>
      </w:r>
      <w:r>
        <w:rPr>
          <w:spacing w:val="8"/>
        </w:rPr>
        <w:t>评价要求，本工程最不利房间(3044</w:t>
      </w:r>
      <w:r>
        <w:rPr>
          <w:spacing w:val="-37"/>
        </w:rPr>
        <w:t xml:space="preserve"> </w:t>
      </w:r>
      <w:r>
        <w:rPr>
          <w:spacing w:val="8"/>
        </w:rPr>
        <w:t>房间,房间类型[休息室])的室内噪声级评价结论汇总</w:t>
      </w:r>
      <w:r>
        <w:t xml:space="preserve"> </w:t>
      </w:r>
      <w:r>
        <w:rPr>
          <w:spacing w:val="4"/>
        </w:rPr>
        <w:t>如下表：</w:t>
      </w:r>
    </w:p>
    <w:p>
      <w:pPr>
        <w:pStyle w:val="2"/>
        <w:spacing w:before="81" w:line="219" w:lineRule="auto"/>
        <w:ind w:left="3007"/>
        <w:rPr>
          <w:sz w:val="18"/>
          <w:szCs w:val="18"/>
        </w:rPr>
      </w:pPr>
      <w:r>
        <w:rPr>
          <w:spacing w:val="-1"/>
          <w:sz w:val="18"/>
          <w:szCs w:val="18"/>
        </w:rPr>
        <w:t>室内噪声级达标、得分情况表</w:t>
      </w:r>
    </w:p>
    <w:p>
      <w:pPr>
        <w:spacing w:line="33" w:lineRule="exact"/>
      </w:pPr>
    </w:p>
    <w:tbl>
      <w:tblPr>
        <w:tblStyle w:val="5"/>
        <w:tblW w:w="7870" w:type="dxa"/>
        <w:tblInd w:w="2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4343"/>
        <w:gridCol w:w="1306"/>
        <w:gridCol w:w="11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27" w:type="dxa"/>
            <w:tcBorders>
              <w:top w:val="single" w:color="000000" w:sz="10" w:space="0"/>
              <w:left w:val="single" w:color="000000" w:sz="10" w:space="0"/>
            </w:tcBorders>
            <w:shd w:val="clear" w:color="auto" w:fill="E6E6E6"/>
            <w:vAlign w:val="top"/>
          </w:tcPr>
          <w:p>
            <w:pPr>
              <w:spacing w:before="164" w:line="182" w:lineRule="auto"/>
              <w:ind w:left="2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检查项</w:t>
            </w:r>
          </w:p>
        </w:tc>
        <w:tc>
          <w:tcPr>
            <w:tcW w:w="4343" w:type="dxa"/>
            <w:tcBorders>
              <w:top w:val="single" w:color="000000" w:sz="10" w:space="0"/>
            </w:tcBorders>
            <w:shd w:val="clear" w:color="auto" w:fill="E6E6E6"/>
            <w:vAlign w:val="top"/>
          </w:tcPr>
          <w:p>
            <w:pPr>
              <w:spacing w:before="77" w:line="183" w:lineRule="auto"/>
              <w:ind w:left="18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评价依据</w:t>
            </w:r>
          </w:p>
        </w:tc>
        <w:tc>
          <w:tcPr>
            <w:tcW w:w="1306" w:type="dxa"/>
            <w:tcBorders>
              <w:top w:val="single" w:color="000000" w:sz="10" w:space="0"/>
            </w:tcBorders>
            <w:shd w:val="clear" w:color="auto" w:fill="E6E6E6"/>
            <w:vAlign w:val="top"/>
          </w:tcPr>
          <w:p>
            <w:pPr>
              <w:spacing w:before="163" w:line="183" w:lineRule="auto"/>
              <w:ind w:left="47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结论</w:t>
            </w:r>
          </w:p>
        </w:tc>
        <w:tc>
          <w:tcPr>
            <w:tcW w:w="1194" w:type="dxa"/>
            <w:tcBorders>
              <w:top w:val="single" w:color="000000" w:sz="10" w:space="0"/>
              <w:right w:val="single" w:color="000000" w:sz="10" w:space="0"/>
            </w:tcBorders>
            <w:shd w:val="clear" w:color="auto" w:fill="E6E6E6"/>
            <w:vAlign w:val="top"/>
          </w:tcPr>
          <w:p>
            <w:pPr>
              <w:spacing w:before="163" w:line="183" w:lineRule="auto"/>
              <w:ind w:left="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027" w:type="dxa"/>
            <w:vMerge w:val="restart"/>
            <w:tcBorders>
              <w:left w:val="single" w:color="000000" w:sz="10" w:space="0"/>
              <w:bottom w:val="nil"/>
            </w:tcBorders>
            <w:shd w:val="clear" w:color="auto" w:fill="E6E6E6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7" w:line="212" w:lineRule="auto"/>
              <w:ind w:left="408" w:right="149" w:hanging="2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室内噪声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级</w:t>
            </w:r>
          </w:p>
        </w:tc>
        <w:tc>
          <w:tcPr>
            <w:tcW w:w="4343" w:type="dxa"/>
            <w:vAlign w:val="top"/>
          </w:tcPr>
          <w:p>
            <w:pPr>
              <w:spacing w:before="71" w:line="183" w:lineRule="auto"/>
              <w:ind w:left="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控制项：</w:t>
            </w:r>
          </w:p>
          <w:p>
            <w:pPr>
              <w:spacing w:before="69" w:line="222" w:lineRule="auto"/>
              <w:ind w:left="94" w:right="95" w:firstLine="13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 xml:space="preserve">5.1.4   主要功能房间的室内噪声级应满足现行国家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标准《民用建筑隔声设计规范》GB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50118 中的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低限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要求。</w:t>
            </w:r>
          </w:p>
        </w:tc>
        <w:tc>
          <w:tcPr>
            <w:tcW w:w="130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49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满足</w:t>
            </w:r>
          </w:p>
        </w:tc>
        <w:tc>
          <w:tcPr>
            <w:tcW w:w="1194" w:type="dxa"/>
            <w:tcBorders>
              <w:right w:val="single" w:color="000000" w:sz="10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1" w:line="111" w:lineRule="exact"/>
              <w:ind w:left="53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position w:val="-2"/>
                <w:sz w:val="20"/>
                <w:szCs w:val="20"/>
              </w:rPr>
              <w:t>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1027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3" w:type="dxa"/>
            <w:tcBorders>
              <w:bottom w:val="single" w:color="000000" w:sz="10" w:space="0"/>
            </w:tcBorders>
            <w:vAlign w:val="top"/>
          </w:tcPr>
          <w:p>
            <w:pPr>
              <w:spacing w:before="81" w:line="183" w:lineRule="auto"/>
              <w:ind w:left="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评分项：</w:t>
            </w:r>
          </w:p>
          <w:p>
            <w:pPr>
              <w:spacing w:before="36" w:line="233" w:lineRule="auto"/>
              <w:ind w:left="95" w:right="95" w:firstLine="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5.2.6   主要功能房间噪声级达到现行国家标准《民用</w:t>
            </w:r>
            <w:r>
              <w:rPr>
                <w:rFonts w:ascii="微软雅黑" w:hAnsi="微软雅黑" w:eastAsia="微软雅黑" w:cs="微软雅黑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建筑隔声设计规范》GB 50118  中的低限标准限值和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高要求标准限值的平均值，得 4 分；达到高要求标准</w:t>
            </w:r>
            <w:r>
              <w:rPr>
                <w:rFonts w:ascii="微软雅黑" w:hAnsi="微软雅黑" w:eastAsia="微软雅黑" w:cs="微软雅黑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8"/>
                <w:szCs w:val="18"/>
              </w:rPr>
              <w:t>限值</w:t>
            </w:r>
            <w:r>
              <w:rPr>
                <w:rFonts w:ascii="微软雅黑" w:hAnsi="微软雅黑" w:eastAsia="微软雅黑" w:cs="微软雅黑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8"/>
                <w:szCs w:val="18"/>
              </w:rPr>
              <w:t>，得 8 分。</w:t>
            </w:r>
          </w:p>
        </w:tc>
        <w:tc>
          <w:tcPr>
            <w:tcW w:w="1306" w:type="dxa"/>
            <w:tcBorders>
              <w:bottom w:val="single" w:color="000000" w:sz="10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32"/>
            </w:pP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满足高要求</w:t>
            </w:r>
          </w:p>
        </w:tc>
        <w:tc>
          <w:tcPr>
            <w:tcW w:w="119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13"/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>8</w:t>
            </w:r>
            <w:r>
              <w:rPr>
                <w:rFonts w:ascii="Calibri" w:hAnsi="Calibri" w:eastAsia="Calibri" w:cs="Calibri"/>
                <w:b/>
                <w:bCs/>
                <w:spacing w:val="18"/>
              </w:rPr>
              <w:t xml:space="preserve"> </w:t>
            </w:r>
            <w:r>
              <w:rPr>
                <w:spacing w:val="-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51"/>
        <w:outlineLvl w:val="0"/>
        <w:rPr>
          <w:sz w:val="28"/>
          <w:szCs w:val="28"/>
        </w:rPr>
      </w:pPr>
      <w:r>
        <w:rPr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四、总结</w:t>
      </w:r>
    </w:p>
    <w:p>
      <w:pPr>
        <w:spacing w:line="412" w:lineRule="auto"/>
        <w:rPr>
          <w:rFonts w:ascii="Arial"/>
          <w:sz w:val="21"/>
        </w:rPr>
      </w:pPr>
    </w:p>
    <w:p>
      <w:pPr>
        <w:pStyle w:val="2"/>
        <w:spacing w:before="66" w:line="226" w:lineRule="auto"/>
        <w:ind w:left="447"/>
      </w:pPr>
      <w:r>
        <w:rPr>
          <w:spacing w:val="8"/>
        </w:rPr>
        <w:t>《绿色建筑评价标准》</w:t>
      </w:r>
      <w:r>
        <w:t>GB</w:t>
      </w:r>
      <w:r>
        <w:rPr>
          <w:spacing w:val="8"/>
        </w:rPr>
        <w:t xml:space="preserve"> 50378</w:t>
      </w:r>
      <w:r>
        <w:rPr>
          <w:spacing w:val="-38"/>
        </w:rPr>
        <w:t xml:space="preserve"> </w:t>
      </w:r>
      <w:r>
        <w:rPr>
          <w:spacing w:val="8"/>
        </w:rPr>
        <w:t>第</w:t>
      </w:r>
      <w:r>
        <w:rPr>
          <w:spacing w:val="-38"/>
        </w:rPr>
        <w:t xml:space="preserve"> </w:t>
      </w:r>
      <w:r>
        <w:rPr>
          <w:spacing w:val="8"/>
        </w:rPr>
        <w:t>8.2.6</w:t>
      </w:r>
      <w:r>
        <w:rPr>
          <w:spacing w:val="-36"/>
        </w:rPr>
        <w:t xml:space="preserve"> </w:t>
      </w:r>
      <w:r>
        <w:rPr>
          <w:spacing w:val="8"/>
        </w:rPr>
        <w:t>条的要求：场地内环境</w:t>
      </w:r>
      <w:r>
        <w:rPr>
          <w:spacing w:val="7"/>
        </w:rPr>
        <w:t>噪声符合现行国家标</w:t>
      </w:r>
    </w:p>
    <w:p>
      <w:pPr>
        <w:pStyle w:val="2"/>
        <w:spacing w:before="67" w:line="228" w:lineRule="auto"/>
        <w:ind w:left="23"/>
      </w:pPr>
      <w:r>
        <w:rPr>
          <w:spacing w:val="7"/>
        </w:rPr>
        <w:t>准《声环境质量标准》</w:t>
      </w:r>
      <w:r>
        <w:t>GB</w:t>
      </w:r>
      <w:r>
        <w:rPr>
          <w:spacing w:val="7"/>
        </w:rPr>
        <w:t xml:space="preserve"> 3096</w:t>
      </w:r>
      <w:r>
        <w:rPr>
          <w:spacing w:val="-22"/>
        </w:rPr>
        <w:t xml:space="preserve"> </w:t>
      </w:r>
      <w:r>
        <w:rPr>
          <w:spacing w:val="7"/>
        </w:rPr>
        <w:t>的有关规定。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10"/>
      </w:pPr>
    </w:p>
    <w:p>
      <w:pPr>
        <w:sectPr>
          <w:pgSz w:w="11906" w:h="16839"/>
          <w:pgMar w:top="1431" w:right="1718" w:bottom="0" w:left="1785" w:header="0" w:footer="0" w:gutter="0"/>
          <w:cols w:equalWidth="0" w:num="1">
            <w:col w:w="8402"/>
          </w:cols>
        </w:sectPr>
      </w:pPr>
    </w:p>
    <w:p>
      <w:pPr>
        <w:pStyle w:val="2"/>
        <w:spacing w:before="36" w:line="184" w:lineRule="auto"/>
        <w:ind w:left="3078"/>
        <w:rPr>
          <w:sz w:val="18"/>
          <w:szCs w:val="18"/>
        </w:rPr>
      </w:pPr>
      <w:r>
        <w:rPr>
          <w:spacing w:val="-1"/>
          <w:sz w:val="18"/>
          <w:szCs w:val="18"/>
        </w:rPr>
        <w:t>环境噪声综合得分表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8" w:line="205" w:lineRule="auto"/>
        <w:rPr>
          <w:sz w:val="14"/>
          <w:szCs w:val="14"/>
        </w:rPr>
      </w:pPr>
      <w:r>
        <w:rPr>
          <w:spacing w:val="7"/>
          <w:sz w:val="14"/>
          <w:szCs w:val="14"/>
        </w:rPr>
        <w:t>单位：</w:t>
      </w:r>
      <w:r>
        <w:rPr>
          <w:sz w:val="14"/>
          <w:szCs w:val="14"/>
        </w:rPr>
        <w:t>dB</w:t>
      </w:r>
      <w:r>
        <w:rPr>
          <w:spacing w:val="7"/>
          <w:sz w:val="14"/>
          <w:szCs w:val="14"/>
        </w:rPr>
        <w:t>(A)</w:t>
      </w:r>
    </w:p>
    <w:p>
      <w:pPr>
        <w:spacing w:line="205" w:lineRule="auto"/>
        <w:rPr>
          <w:sz w:val="14"/>
          <w:szCs w:val="14"/>
        </w:rPr>
        <w:sectPr>
          <w:type w:val="continuous"/>
          <w:pgSz w:w="11906" w:h="16839"/>
          <w:pgMar w:top="1431" w:right="1718" w:bottom="0" w:left="1785" w:header="0" w:footer="0" w:gutter="0"/>
          <w:cols w:equalWidth="0" w:num="2">
            <w:col w:w="7225" w:space="100"/>
            <w:col w:w="1078"/>
          </w:cols>
        </w:sectPr>
      </w:pPr>
    </w:p>
    <w:p>
      <w:pPr>
        <w:spacing w:line="65" w:lineRule="exact"/>
      </w:pPr>
    </w:p>
    <w:tbl>
      <w:tblPr>
        <w:tblStyle w:val="5"/>
        <w:tblW w:w="8281" w:type="dxa"/>
        <w:tblInd w:w="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650"/>
        <w:gridCol w:w="1650"/>
        <w:gridCol w:w="1651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64" w:type="dxa"/>
            <w:tcBorders>
              <w:top w:val="single" w:color="000000" w:sz="10" w:space="0"/>
              <w:left w:val="single" w:color="000000" w:sz="10" w:space="0"/>
            </w:tcBorders>
            <w:shd w:val="clear" w:color="auto" w:fill="F1F1F1"/>
            <w:vAlign w:val="top"/>
          </w:tcPr>
          <w:p>
            <w:pPr>
              <w:pStyle w:val="6"/>
              <w:spacing w:before="55" w:line="229" w:lineRule="auto"/>
              <w:ind w:left="624"/>
            </w:pPr>
            <w:r>
              <w:rPr>
                <w:spacing w:val="-1"/>
              </w:rPr>
              <w:t>时段</w:t>
            </w:r>
          </w:p>
        </w:tc>
        <w:tc>
          <w:tcPr>
            <w:tcW w:w="1650" w:type="dxa"/>
            <w:tcBorders>
              <w:top w:val="single" w:color="000000" w:sz="10" w:space="0"/>
            </w:tcBorders>
            <w:shd w:val="clear" w:color="auto" w:fill="F1F1F1"/>
            <w:vAlign w:val="top"/>
          </w:tcPr>
          <w:p>
            <w:pPr>
              <w:pStyle w:val="6"/>
              <w:spacing w:before="55" w:line="228" w:lineRule="auto"/>
              <w:ind w:left="307"/>
            </w:pPr>
            <w:r>
              <w:rPr>
                <w:spacing w:val="6"/>
              </w:rPr>
              <w:t>噪声最大值</w:t>
            </w:r>
          </w:p>
        </w:tc>
        <w:tc>
          <w:tcPr>
            <w:tcW w:w="1650" w:type="dxa"/>
            <w:tcBorders>
              <w:top w:val="single" w:color="000000" w:sz="10" w:space="0"/>
            </w:tcBorders>
            <w:shd w:val="clear" w:color="auto" w:fill="F1F1F1"/>
            <w:vAlign w:val="top"/>
          </w:tcPr>
          <w:p>
            <w:pPr>
              <w:pStyle w:val="6"/>
              <w:spacing w:before="55" w:line="228" w:lineRule="auto"/>
              <w:ind w:left="227"/>
            </w:pPr>
            <w:r>
              <w:rPr>
                <w:rFonts w:ascii="Calibri" w:hAnsi="Calibri" w:eastAsia="Calibri" w:cs="Calibri"/>
                <w:spacing w:val="5"/>
              </w:rPr>
              <w:t>2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5"/>
              </w:rPr>
              <w:t>类噪声限值</w:t>
            </w:r>
          </w:p>
        </w:tc>
        <w:tc>
          <w:tcPr>
            <w:tcW w:w="1651" w:type="dxa"/>
            <w:tcBorders>
              <w:top w:val="single" w:color="000000" w:sz="10" w:space="0"/>
            </w:tcBorders>
            <w:shd w:val="clear" w:color="auto" w:fill="F1F1F1"/>
            <w:vAlign w:val="top"/>
          </w:tcPr>
          <w:p>
            <w:pPr>
              <w:pStyle w:val="6"/>
              <w:spacing w:before="55" w:line="228" w:lineRule="auto"/>
              <w:ind w:left="230"/>
            </w:pPr>
            <w:r>
              <w:rPr>
                <w:rFonts w:ascii="Calibri" w:hAnsi="Calibri" w:eastAsia="Calibri" w:cs="Calibri"/>
                <w:spacing w:val="5"/>
              </w:rPr>
              <w:t>3</w:t>
            </w:r>
            <w:r>
              <w:rPr>
                <w:rFonts w:ascii="Calibri" w:hAnsi="Calibri" w:eastAsia="Calibri" w:cs="Calibri"/>
                <w:spacing w:val="19"/>
              </w:rPr>
              <w:t xml:space="preserve"> </w:t>
            </w:r>
            <w:r>
              <w:rPr>
                <w:spacing w:val="5"/>
              </w:rPr>
              <w:t>类噪声限值</w:t>
            </w:r>
          </w:p>
        </w:tc>
        <w:tc>
          <w:tcPr>
            <w:tcW w:w="1666" w:type="dxa"/>
            <w:tcBorders>
              <w:top w:val="single" w:color="000000" w:sz="10" w:space="0"/>
              <w:right w:val="single" w:color="000000" w:sz="10" w:space="0"/>
            </w:tcBorders>
            <w:shd w:val="clear" w:color="auto" w:fill="F1F1F1"/>
            <w:vAlign w:val="top"/>
          </w:tcPr>
          <w:p>
            <w:pPr>
              <w:pStyle w:val="6"/>
              <w:spacing w:before="55" w:line="228" w:lineRule="auto"/>
              <w:ind w:left="420"/>
            </w:pPr>
            <w:r>
              <w:rPr>
                <w:spacing w:val="7"/>
              </w:rPr>
              <w:t>得分情况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6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9" w:line="221" w:lineRule="auto"/>
              <w:ind w:left="613"/>
            </w:pPr>
            <w:r>
              <w:rPr>
                <w:spacing w:val="5"/>
              </w:rPr>
              <w:t>昼间</w:t>
            </w:r>
          </w:p>
        </w:tc>
        <w:tc>
          <w:tcPr>
            <w:tcW w:w="1650" w:type="dxa"/>
            <w:vAlign w:val="top"/>
          </w:tcPr>
          <w:p>
            <w:pPr>
              <w:spacing w:before="99" w:line="185" w:lineRule="auto"/>
              <w:ind w:left="7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51</w:t>
            </w:r>
          </w:p>
        </w:tc>
        <w:tc>
          <w:tcPr>
            <w:tcW w:w="1650" w:type="dxa"/>
            <w:vAlign w:val="top"/>
          </w:tcPr>
          <w:p>
            <w:pPr>
              <w:spacing w:before="98" w:line="186" w:lineRule="auto"/>
              <w:ind w:left="72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60</w:t>
            </w:r>
          </w:p>
        </w:tc>
        <w:tc>
          <w:tcPr>
            <w:tcW w:w="1651" w:type="dxa"/>
            <w:vAlign w:val="top"/>
          </w:tcPr>
          <w:p>
            <w:pPr>
              <w:spacing w:before="98" w:line="186" w:lineRule="auto"/>
              <w:ind w:left="72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65</w:t>
            </w:r>
          </w:p>
        </w:tc>
        <w:tc>
          <w:tcPr>
            <w:tcW w:w="1666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pStyle w:val="6"/>
              <w:spacing w:before="220" w:line="228" w:lineRule="auto"/>
              <w:ind w:left="606"/>
            </w:pPr>
            <w:r>
              <w:rPr>
                <w:rFonts w:ascii="Calibri" w:hAnsi="Calibri" w:eastAsia="Calibri" w:cs="Calibri"/>
                <w:b/>
                <w:bCs/>
                <w:spacing w:val="-3"/>
              </w:rPr>
              <w:t>10</w:t>
            </w:r>
            <w:r>
              <w:rPr>
                <w:rFonts w:ascii="Calibri" w:hAnsi="Calibri" w:eastAsia="Calibri" w:cs="Calibri"/>
                <w:b/>
                <w:bCs/>
                <w:spacing w:val="22"/>
              </w:rPr>
              <w:t xml:space="preserve"> </w:t>
            </w:r>
            <w:r>
              <w:rPr>
                <w:spacing w:val="-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4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66" w:line="228" w:lineRule="auto"/>
              <w:ind w:left="618"/>
            </w:pPr>
            <w:r>
              <w:rPr>
                <w:spacing w:val="3"/>
              </w:rPr>
              <w:t>夜间</w:t>
            </w:r>
          </w:p>
        </w:tc>
        <w:tc>
          <w:tcPr>
            <w:tcW w:w="1650" w:type="dxa"/>
            <w:tcBorders>
              <w:bottom w:val="single" w:color="000000" w:sz="10" w:space="0"/>
            </w:tcBorders>
            <w:vAlign w:val="top"/>
          </w:tcPr>
          <w:p>
            <w:pPr>
              <w:spacing w:before="108" w:line="186" w:lineRule="auto"/>
              <w:ind w:left="7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43</w:t>
            </w:r>
          </w:p>
        </w:tc>
        <w:tc>
          <w:tcPr>
            <w:tcW w:w="1650" w:type="dxa"/>
            <w:tcBorders>
              <w:bottom w:val="single" w:color="000000" w:sz="10" w:space="0"/>
            </w:tcBorders>
            <w:vAlign w:val="top"/>
          </w:tcPr>
          <w:p>
            <w:pPr>
              <w:spacing w:before="108" w:line="186" w:lineRule="auto"/>
              <w:ind w:left="72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50</w:t>
            </w:r>
          </w:p>
        </w:tc>
        <w:tc>
          <w:tcPr>
            <w:tcW w:w="1651" w:type="dxa"/>
            <w:tcBorders>
              <w:bottom w:val="single" w:color="000000" w:sz="10" w:space="0"/>
            </w:tcBorders>
            <w:vAlign w:val="top"/>
          </w:tcPr>
          <w:p>
            <w:pPr>
              <w:spacing w:before="110" w:line="184" w:lineRule="auto"/>
              <w:ind w:left="72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55</w:t>
            </w:r>
          </w:p>
        </w:tc>
        <w:tc>
          <w:tcPr>
            <w:tcW w:w="1666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65"/>
        <w:ind w:left="19" w:firstLine="425"/>
      </w:pPr>
      <w:r>
        <w:rPr>
          <w:spacing w:val="9"/>
        </w:rPr>
        <w:t>综上所述，经过软件模拟和结果统计分析，最终判定本项目</w:t>
      </w:r>
      <w:r>
        <w:rPr>
          <w:spacing w:val="9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满足</w:t>
      </w:r>
      <w:r>
        <w:rPr>
          <w:spacing w:val="9"/>
        </w:rPr>
        <w:t>《绿色建筑评价标准》</w:t>
      </w:r>
      <w:r>
        <w:rPr>
          <w:spacing w:val="13"/>
        </w:rPr>
        <w:t xml:space="preserve"> </w:t>
      </w:r>
      <w:r>
        <w:t>GB</w:t>
      </w:r>
      <w:r>
        <w:rPr>
          <w:spacing w:val="3"/>
        </w:rPr>
        <w:t xml:space="preserve"> 50378-2019</w:t>
      </w:r>
      <w:r>
        <w:rPr>
          <w:spacing w:val="-24"/>
        </w:rPr>
        <w:t xml:space="preserve"> </w:t>
      </w:r>
      <w:r>
        <w:rPr>
          <w:spacing w:val="3"/>
        </w:rPr>
        <w:t>第</w:t>
      </w:r>
      <w:r>
        <w:rPr>
          <w:spacing w:val="-36"/>
        </w:rPr>
        <w:t xml:space="preserve"> </w:t>
      </w:r>
      <w:r>
        <w:rPr>
          <w:spacing w:val="3"/>
        </w:rPr>
        <w:t>8.2.6</w:t>
      </w:r>
      <w:r>
        <w:rPr>
          <w:spacing w:val="-39"/>
        </w:rPr>
        <w:t xml:space="preserve"> </w:t>
      </w:r>
      <w:r>
        <w:rPr>
          <w:spacing w:val="3"/>
        </w:rPr>
        <w:t>条。</w:t>
      </w:r>
    </w:p>
    <w:sectPr>
      <w:type w:val="continuous"/>
      <w:pgSz w:w="11906" w:h="16839"/>
      <w:pgMar w:top="1431" w:right="1718" w:bottom="0" w:left="1785" w:header="0" w:footer="0" w:gutter="0"/>
      <w:cols w:equalWidth="0" w:num="1">
        <w:col w:w="840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zMmYzMWY4YjZhYzBlMjE0NTQzMDFmZjQxZTRjZmQifQ=="/>
  </w:docVars>
  <w:rsids>
    <w:rsidRoot w:val="00000000"/>
    <w:rsid w:val="25542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2023-12-17T20:35:00Z</dcterms:created>
  <dc:creator>毛晓文</dc:creator>
  <cp:lastModifiedBy>向泰</cp:lastModifiedBy>
  <dcterms:modified xsi:type="dcterms:W3CDTF">2024-03-12T16:20:30Z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2023-12-18T15:50:31Z</vt:filetime>
  </property>
  <property fmtid="{D5CDD505-2E9C-101B-9397-08002B2CF9AE}" pid="4" name="KSOProductBuildVer">
    <vt:lpwstr>2052-12.1.0.16388</vt:lpwstr>
  </property>
  <property fmtid="{D5CDD505-2E9C-101B-9397-08002B2CF9AE}" pid="5" name="ICV">
    <vt:lpwstr>6C6EDB231CD04156B71A27180ADA6B64_12</vt:lpwstr>
  </property>
</Properties>
</file>