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2" w:name="_GoBack"/>
      <w:bookmarkEnd w:id="82"/>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r>
              <w:rPr>
                <w:rFonts w:ascii="华文中宋" w:hAnsi="华文中宋" w:eastAsia="华文中宋" w:cs="华文中宋"/>
                <w:color w:val="000000"/>
                <w:kern w:val="0"/>
                <w:sz w:val="24"/>
                <w:szCs w:val="24"/>
                <w:lang w:val="en-US" w:eastAsia="zh-CN" w:bidi="ar"/>
              </w:rPr>
              <w:t>广州公用事业高级技工学校学生社团综合楼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2023年12月21日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T19963557972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"_Toc154058965"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_Toc154058965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"_Toc154058966"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_Toc154058966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"_Toc154058967"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_Toc154058967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"_Toc154058968"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_Toc154058968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"_Toc154058969"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_Toc154058969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"_Toc154058970"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_Toc154058970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"_Toc154058971"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_Toc154058971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"_Toc154058972"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_Toc154058972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"_Toc154058973"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_Toc154058973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"_Toc154058974"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_Toc154058974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"_Toc154058975"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_Toc154058975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"_Toc154058976"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_Toc154058976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"_Toc154058977" </w:instrText>
          </w:r>
          <w:r>
            <w:fldChar w:fldCharType="separate"/>
          </w:r>
          <w:r>
            <w:rPr>
              <w:rStyle w:val="22"/>
              <w:rFonts w:eastAsia="宋体"/>
              <w:lang w:val="en-GB"/>
            </w:rPr>
            <w:t>5.3.2</w:t>
          </w:r>
          <w:r>
            <w:rPr>
              <w:rFonts w:asciiTheme="minorHAnsi" w:hAnsiTheme="minorHAnsi" w:eastAsiaTheme="minorEastAsia" w:cstheme="minorBidi"/>
              <w:sz w:val="21"/>
              <w:szCs w:val="22"/>
              <w14:ligatures w14:val="standardContextual"/>
            </w:rPr>
            <w:tab/>
          </w:r>
          <w:r>
            <w:rPr>
              <w:rStyle w:val="22"/>
            </w:rPr>
            <w:t>玻璃幕墙</w:t>
          </w:r>
          <w:r>
            <w:tab/>
          </w:r>
          <w:r>
            <w:fldChar w:fldCharType="begin"/>
          </w:r>
          <w:r>
            <w:instrText xml:space="preserve"> PAGEREF _Toc154058977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"_Toc154058978"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_Toc154058978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"_Toc154058979"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_Toc154058979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"_Toc154058980"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_Toc154058980 \h </w:instrText>
          </w:r>
          <w:r>
            <w:fldChar w:fldCharType="separate"/>
          </w:r>
          <w:r>
            <w:t>11</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54058965"/>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广州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2527.84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5</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18.30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54058966"/>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54058967"/>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办公建筑、学校建筑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w:t>
      </w:r>
      <w:r>
        <w:rPr>
          <w:rFonts w:hint="eastAsia"/>
        </w:rPr>
        <w:t>5</w:t>
      </w:r>
      <w:r>
        <w:t xml:space="preserve">  </w:t>
      </w:r>
      <w:r>
        <w:rPr>
          <w:rFonts w:hint="eastAsia"/>
        </w:rPr>
        <w:t>教育建筑的采光标准值不应低于表4.0.5的规定。</w:t>
      </w:r>
    </w:p>
    <w:p>
      <w:pPr>
        <w:pStyle w:val="27"/>
        <w:ind w:left="902" w:firstLine="0" w:firstLineChars="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4" w:type="dxa"/>
            <w:vMerge w:val="restart"/>
            <w:vAlign w:val="center"/>
          </w:tcPr>
          <w:p>
            <w:pPr>
              <w:pStyle w:val="3"/>
              <w:jc w:val="center"/>
              <w:rPr>
                <w:sz w:val="18"/>
                <w:szCs w:val="18"/>
              </w:rPr>
            </w:pPr>
            <w:r>
              <w:rPr>
                <w:rFonts w:hint="eastAsia"/>
                <w:sz w:val="18"/>
                <w:szCs w:val="18"/>
              </w:rPr>
              <w:t>采光等级</w:t>
            </w:r>
          </w:p>
        </w:tc>
        <w:tc>
          <w:tcPr>
            <w:tcW w:w="2552" w:type="dxa"/>
            <w:vMerge w:val="restart"/>
            <w:vAlign w:val="center"/>
          </w:tcPr>
          <w:p>
            <w:pPr>
              <w:pStyle w:val="3"/>
              <w:jc w:val="center"/>
              <w:rPr>
                <w:sz w:val="18"/>
                <w:szCs w:val="18"/>
              </w:rPr>
            </w:pPr>
            <w:r>
              <w:rPr>
                <w:rFonts w:hint="eastAsia"/>
                <w:sz w:val="18"/>
                <w:szCs w:val="18"/>
              </w:rPr>
              <w:t>场所名称</w:t>
            </w:r>
          </w:p>
        </w:tc>
        <w:tc>
          <w:tcPr>
            <w:tcW w:w="5386" w:type="dxa"/>
            <w:gridSpan w:val="2"/>
            <w:vAlign w:val="center"/>
          </w:tcPr>
          <w:p>
            <w:pPr>
              <w:pStyle w:val="3"/>
              <w:jc w:val="center"/>
              <w:rPr>
                <w:sz w:val="18"/>
                <w:szCs w:val="18"/>
              </w:rPr>
            </w:pPr>
            <w:r>
              <w:rPr>
                <w:rFonts w:hint="eastAsia"/>
                <w:sz w:val="18"/>
                <w:szCs w:val="18"/>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vMerge w:val="continue"/>
            <w:vAlign w:val="center"/>
          </w:tcPr>
          <w:p>
            <w:pPr>
              <w:pStyle w:val="3"/>
              <w:jc w:val="center"/>
              <w:rPr>
                <w:sz w:val="18"/>
                <w:szCs w:val="18"/>
              </w:rPr>
            </w:pPr>
          </w:p>
        </w:tc>
        <w:tc>
          <w:tcPr>
            <w:tcW w:w="2552" w:type="dxa"/>
            <w:vMerge w:val="continue"/>
            <w:vAlign w:val="center"/>
          </w:tcPr>
          <w:p>
            <w:pPr>
              <w:pStyle w:val="3"/>
              <w:jc w:val="center"/>
              <w:rPr>
                <w:sz w:val="18"/>
                <w:szCs w:val="18"/>
              </w:rPr>
            </w:pPr>
          </w:p>
        </w:tc>
        <w:tc>
          <w:tcPr>
            <w:tcW w:w="2693" w:type="dxa"/>
            <w:vAlign w:val="center"/>
          </w:tcPr>
          <w:p>
            <w:pPr>
              <w:pStyle w:val="3"/>
              <w:jc w:val="center"/>
              <w:rPr>
                <w:sz w:val="18"/>
                <w:szCs w:val="18"/>
              </w:rPr>
            </w:pPr>
            <w:r>
              <w:rPr>
                <w:rFonts w:hint="eastAsia"/>
                <w:sz w:val="18"/>
                <w:szCs w:val="18"/>
              </w:rPr>
              <w:t>采光系数标准值（%）</w:t>
            </w:r>
          </w:p>
        </w:tc>
        <w:tc>
          <w:tcPr>
            <w:tcW w:w="2693" w:type="dxa"/>
            <w:vAlign w:val="center"/>
          </w:tcPr>
          <w:p>
            <w:pPr>
              <w:pStyle w:val="3"/>
              <w:jc w:val="center"/>
              <w:rPr>
                <w:sz w:val="18"/>
                <w:szCs w:val="18"/>
              </w:rPr>
            </w:pPr>
            <w:r>
              <w:rPr>
                <w:rFonts w:hint="eastAsia"/>
                <w:sz w:val="18"/>
                <w:szCs w:val="18"/>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694" w:type="dxa"/>
            <w:vAlign w:val="center"/>
          </w:tcPr>
          <w:p>
            <w:pPr>
              <w:widowControl w:val="0"/>
              <w:rPr>
                <w:rFonts w:cs="宋体"/>
                <w:szCs w:val="21"/>
              </w:rPr>
            </w:pPr>
            <w:r>
              <w:rPr>
                <w:rFonts w:hint="eastAsia" w:cs="宋体"/>
                <w:szCs w:val="21"/>
              </w:rPr>
              <w:t>Ⅲ</w:t>
            </w:r>
          </w:p>
        </w:tc>
        <w:tc>
          <w:tcPr>
            <w:tcW w:w="2552" w:type="dxa"/>
            <w:vAlign w:val="center"/>
          </w:tcPr>
          <w:p>
            <w:pPr>
              <w:widowControl w:val="0"/>
              <w:rPr>
                <w:rFonts w:cs="宋体"/>
                <w:szCs w:val="21"/>
              </w:rPr>
            </w:pPr>
            <w:r>
              <w:rPr>
                <w:rFonts w:hint="eastAsia" w:cs="宋体"/>
                <w:szCs w:val="21"/>
              </w:rPr>
              <w:t>专用教室、实验室、阶梯教室、教师办公室</w:t>
            </w:r>
          </w:p>
        </w:tc>
        <w:tc>
          <w:tcPr>
            <w:tcW w:w="2693" w:type="dxa"/>
            <w:vAlign w:val="center"/>
          </w:tcPr>
          <w:p>
            <w:pPr>
              <w:widowControl w:val="0"/>
              <w:rPr>
                <w:rFonts w:cs="宋体"/>
                <w:szCs w:val="21"/>
              </w:rPr>
            </w:pPr>
            <w:r>
              <w:rPr>
                <w:rFonts w:hint="eastAsia" w:cs="宋体"/>
                <w:szCs w:val="21"/>
              </w:rPr>
              <w:t>3.0</w:t>
            </w:r>
          </w:p>
        </w:tc>
        <w:tc>
          <w:tcPr>
            <w:tcW w:w="2693" w:type="dxa"/>
            <w:vAlign w:val="center"/>
          </w:tcPr>
          <w:p>
            <w:pPr>
              <w:widowControl w:val="0"/>
              <w:rPr>
                <w:rFonts w:cs="宋体"/>
                <w:szCs w:val="21"/>
              </w:rPr>
            </w:pPr>
            <w:r>
              <w:rPr>
                <w:rFonts w:hint="eastAsia" w:cs="宋体"/>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94" w:type="dxa"/>
            <w:vAlign w:val="center"/>
          </w:tcPr>
          <w:p>
            <w:pPr>
              <w:widowControl w:val="0"/>
              <w:rPr>
                <w:rFonts w:cs="宋体"/>
                <w:szCs w:val="21"/>
              </w:rPr>
            </w:pPr>
            <w:r>
              <w:rPr>
                <w:rFonts w:hint="eastAsia" w:cs="宋体"/>
                <w:szCs w:val="21"/>
              </w:rPr>
              <w:t>Ⅴ</w:t>
            </w:r>
          </w:p>
        </w:tc>
        <w:tc>
          <w:tcPr>
            <w:tcW w:w="2552" w:type="dxa"/>
            <w:vAlign w:val="center"/>
          </w:tcPr>
          <w:p>
            <w:pPr>
              <w:widowControl w:val="0"/>
              <w:rPr>
                <w:rFonts w:cs="宋体"/>
                <w:szCs w:val="21"/>
              </w:rPr>
            </w:pPr>
            <w:r>
              <w:rPr>
                <w:rFonts w:hint="eastAsia" w:cs="宋体"/>
                <w:szCs w:val="21"/>
              </w:rPr>
              <w:t>走道、楼梯间、卫生间</w:t>
            </w:r>
          </w:p>
        </w:tc>
        <w:tc>
          <w:tcPr>
            <w:tcW w:w="2693" w:type="dxa"/>
            <w:vAlign w:val="center"/>
          </w:tcPr>
          <w:p>
            <w:pPr>
              <w:widowControl w:val="0"/>
              <w:rPr>
                <w:rFonts w:cs="宋体"/>
                <w:szCs w:val="21"/>
              </w:rPr>
            </w:pPr>
            <w:r>
              <w:rPr>
                <w:rFonts w:hint="eastAsia" w:cs="宋体"/>
                <w:szCs w:val="21"/>
              </w:rPr>
              <w:t>1.0</w:t>
            </w:r>
          </w:p>
          <w:p>
            <w:pPr>
              <w:widowControl w:val="0"/>
              <w:rPr>
                <w:rFonts w:cs="宋体"/>
                <w:szCs w:val="21"/>
              </w:rPr>
            </w:pPr>
          </w:p>
          <w:p>
            <w:pPr>
              <w:widowControl w:val="0"/>
              <w:rPr>
                <w:rFonts w:cs="宋体"/>
                <w:szCs w:val="21"/>
              </w:rPr>
            </w:pPr>
          </w:p>
          <w:p>
            <w:pPr>
              <w:widowControl w:val="0"/>
              <w:rPr>
                <w:rFonts w:cs="宋体"/>
                <w:szCs w:val="21"/>
              </w:rPr>
            </w:pPr>
          </w:p>
          <w:p>
            <w:pPr>
              <w:widowControl w:val="0"/>
              <w:rPr>
                <w:rFonts w:cs="宋体"/>
                <w:szCs w:val="21"/>
              </w:rPr>
            </w:pPr>
          </w:p>
        </w:tc>
        <w:tc>
          <w:tcPr>
            <w:tcW w:w="2693" w:type="dxa"/>
            <w:vAlign w:val="center"/>
          </w:tcPr>
          <w:p>
            <w:pPr>
              <w:widowControl w:val="0"/>
              <w:rPr>
                <w:rFonts w:cs="宋体"/>
                <w:szCs w:val="21"/>
              </w:rPr>
            </w:pPr>
            <w:r>
              <w:rPr>
                <w:rFonts w:hint="eastAsia" w:cs="宋体"/>
                <w:szCs w:val="21"/>
              </w:rPr>
              <w:t>150</w:t>
            </w:r>
          </w:p>
        </w:tc>
      </w:tr>
    </w:tbl>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2"/>
        <w:ind w:left="432" w:hanging="432"/>
        <w:rPr>
          <w:rFonts w:ascii="微软雅黑" w:hAnsi="微软雅黑"/>
        </w:rPr>
      </w:pPr>
      <w:bookmarkStart w:id="28" w:name="_Toc264043625"/>
      <w:bookmarkStart w:id="29" w:name="_Toc312399791"/>
      <w:bookmarkStart w:id="30" w:name="_Toc290209336"/>
      <w:bookmarkStart w:id="31" w:name="_Toc264569232"/>
      <w:bookmarkStart w:id="32" w:name="_Toc290209312"/>
      <w:bookmarkStart w:id="33" w:name="_Toc154058968"/>
      <w:bookmarkStart w:id="34" w:name="_Toc275165382"/>
      <w:bookmarkStart w:id="35" w:name="_Toc290149054"/>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54058969"/>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90209317"/>
      <w:bookmarkStart w:id="39" w:name="_Toc290209341"/>
      <w:bookmarkStart w:id="40" w:name="_Toc275165387"/>
      <w:bookmarkStart w:id="41" w:name="_Toc290149059"/>
      <w:bookmarkStart w:id="42" w:name="_Toc312399796"/>
      <w:bookmarkStart w:id="43"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154058970"/>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154058971"/>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54058972"/>
      <w:r>
        <w:rPr>
          <w:rFonts w:hint="eastAsia"/>
        </w:rPr>
        <w:t>采光计算</w:t>
      </w:r>
      <w:r>
        <w:t>参数</w:t>
      </w:r>
      <w:r>
        <w:rPr>
          <w:rFonts w:hint="eastAsia"/>
        </w:rPr>
        <w:t>取值</w:t>
      </w:r>
      <w:bookmarkEnd w:id="47"/>
    </w:p>
    <w:p>
      <w:pPr>
        <w:pStyle w:val="4"/>
      </w:pPr>
      <w:bookmarkStart w:id="48" w:name="_Toc290149058"/>
      <w:bookmarkStart w:id="49" w:name="_Toc275165386"/>
      <w:bookmarkStart w:id="50" w:name="_Toc290209316"/>
      <w:bookmarkStart w:id="51" w:name="_Toc290209340"/>
      <w:bookmarkStart w:id="52" w:name="_Toc312399795"/>
      <w:bookmarkStart w:id="53" w:name="_Toc264569236"/>
      <w:bookmarkStart w:id="54" w:name="_Toc264043629"/>
      <w:bookmarkStart w:id="55" w:name="_Toc154058973"/>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154058974"/>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0.80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0.75</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0.75</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54058975"/>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154058976"/>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1200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 xml:space="preserve"> </w:t>
            </w:r>
          </w:p>
        </w:tc>
        <w:tc>
          <w:tcPr>
            <w:tcW w:w="1245" w:type="dxa"/>
            <w:vAlign w:val="center"/>
          </w:tcPr>
          <w:p>
            <w:r>
              <w:t>1500</w:t>
            </w:r>
          </w:p>
        </w:tc>
        <w:tc>
          <w:tcPr>
            <w:tcW w:w="1245" w:type="dxa"/>
            <w:vAlign w:val="center"/>
          </w:tcPr>
          <w:p>
            <w:r>
              <w:t>2200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C0624</w:t>
            </w:r>
          </w:p>
        </w:tc>
        <w:tc>
          <w:tcPr>
            <w:tcW w:w="1245" w:type="dxa"/>
            <w:vAlign w:val="center"/>
          </w:tcPr>
          <w:p>
            <w:r>
              <w:t>600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C1024</w:t>
            </w:r>
          </w:p>
        </w:tc>
        <w:tc>
          <w:tcPr>
            <w:tcW w:w="1245" w:type="dxa"/>
            <w:vAlign w:val="center"/>
          </w:tcPr>
          <w:p>
            <w:r>
              <w:t>1000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C1224</w:t>
            </w:r>
          </w:p>
        </w:tc>
        <w:tc>
          <w:tcPr>
            <w:tcW w:w="1245" w:type="dxa"/>
            <w:vAlign w:val="center"/>
          </w:tcPr>
          <w:p>
            <w:r>
              <w:t>1200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C1524</w:t>
            </w:r>
          </w:p>
        </w:tc>
        <w:tc>
          <w:tcPr>
            <w:tcW w:w="1245" w:type="dxa"/>
            <w:vAlign w:val="center"/>
          </w:tcPr>
          <w:p>
            <w:r>
              <w:t>1500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C1824</w:t>
            </w:r>
          </w:p>
        </w:tc>
        <w:tc>
          <w:tcPr>
            <w:tcW w:w="1245" w:type="dxa"/>
            <w:vAlign w:val="center"/>
          </w:tcPr>
          <w:p>
            <w:r>
              <w:t>1800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C1835</w:t>
            </w:r>
          </w:p>
        </w:tc>
        <w:tc>
          <w:tcPr>
            <w:tcW w:w="1245" w:type="dxa"/>
            <w:vAlign w:val="center"/>
          </w:tcPr>
          <w:p>
            <w:r>
              <w:t>1800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C2124</w:t>
            </w:r>
          </w:p>
        </w:tc>
        <w:tc>
          <w:tcPr>
            <w:tcW w:w="1245" w:type="dxa"/>
            <w:vAlign w:val="center"/>
          </w:tcPr>
          <w:p>
            <w:r>
              <w:t>2100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C2235</w:t>
            </w:r>
          </w:p>
        </w:tc>
        <w:tc>
          <w:tcPr>
            <w:tcW w:w="1245" w:type="dxa"/>
            <w:vAlign w:val="center"/>
          </w:tcPr>
          <w:p>
            <w:r>
              <w:t>2200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C2238</w:t>
            </w:r>
          </w:p>
        </w:tc>
        <w:tc>
          <w:tcPr>
            <w:tcW w:w="1245" w:type="dxa"/>
            <w:vAlign w:val="center"/>
          </w:tcPr>
          <w:p>
            <w:r>
              <w:t>2200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C2435</w:t>
            </w:r>
          </w:p>
        </w:tc>
        <w:tc>
          <w:tcPr>
            <w:tcW w:w="1245" w:type="dxa"/>
            <w:vAlign w:val="center"/>
          </w:tcPr>
          <w:p>
            <w:r>
              <w:t>2400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C2438</w:t>
            </w:r>
          </w:p>
        </w:tc>
        <w:tc>
          <w:tcPr>
            <w:tcW w:w="1245" w:type="dxa"/>
            <w:vAlign w:val="center"/>
          </w:tcPr>
          <w:p>
            <w:r>
              <w:t>2400</w:t>
            </w:r>
          </w:p>
        </w:tc>
        <w:tc>
          <w:tcPr>
            <w:tcW w:w="1245" w:type="dxa"/>
            <w:vAlign w:val="center"/>
          </w:tcPr>
          <w:p>
            <w:r>
              <w:t>3800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C2535</w:t>
            </w:r>
          </w:p>
        </w:tc>
        <w:tc>
          <w:tcPr>
            <w:tcW w:w="1245" w:type="dxa"/>
            <w:vAlign w:val="center"/>
          </w:tcPr>
          <w:p>
            <w:r>
              <w:t>2500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C2635</w:t>
            </w:r>
          </w:p>
        </w:tc>
        <w:tc>
          <w:tcPr>
            <w:tcW w:w="1245" w:type="dxa"/>
            <w:vAlign w:val="center"/>
          </w:tcPr>
          <w:p>
            <w:r>
              <w:t>2600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C2638</w:t>
            </w:r>
          </w:p>
        </w:tc>
        <w:tc>
          <w:tcPr>
            <w:tcW w:w="1245" w:type="dxa"/>
            <w:vAlign w:val="center"/>
          </w:tcPr>
          <w:p>
            <w:r>
              <w:t>2600</w:t>
            </w:r>
          </w:p>
        </w:tc>
        <w:tc>
          <w:tcPr>
            <w:tcW w:w="1245" w:type="dxa"/>
            <w:vAlign w:val="center"/>
          </w:tcPr>
          <w:p>
            <w:r>
              <w:t>3800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C2735</w:t>
            </w:r>
          </w:p>
        </w:tc>
        <w:tc>
          <w:tcPr>
            <w:tcW w:w="1245" w:type="dxa"/>
            <w:vAlign w:val="center"/>
          </w:tcPr>
          <w:p>
            <w:r>
              <w:t>2700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C2835</w:t>
            </w:r>
          </w:p>
        </w:tc>
        <w:tc>
          <w:tcPr>
            <w:tcW w:w="1245" w:type="dxa"/>
            <w:vAlign w:val="center"/>
          </w:tcPr>
          <w:p>
            <w:r>
              <w:t>2800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C2935</w:t>
            </w:r>
          </w:p>
        </w:tc>
        <w:tc>
          <w:tcPr>
            <w:tcW w:w="1245" w:type="dxa"/>
            <w:vAlign w:val="center"/>
          </w:tcPr>
          <w:p>
            <w:r>
              <w:t>2900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C3035</w:t>
            </w:r>
          </w:p>
        </w:tc>
        <w:tc>
          <w:tcPr>
            <w:tcW w:w="1245" w:type="dxa"/>
            <w:vAlign w:val="center"/>
          </w:tcPr>
          <w:p>
            <w:r>
              <w:t>3000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C3235</w:t>
            </w:r>
          </w:p>
        </w:tc>
        <w:tc>
          <w:tcPr>
            <w:tcW w:w="1245" w:type="dxa"/>
            <w:vAlign w:val="center"/>
          </w:tcPr>
          <w:p>
            <w:r>
              <w:t>3200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C3238</w:t>
            </w:r>
          </w:p>
        </w:tc>
        <w:tc>
          <w:tcPr>
            <w:tcW w:w="1245" w:type="dxa"/>
            <w:vAlign w:val="center"/>
          </w:tcPr>
          <w:p>
            <w:r>
              <w:t>3200</w:t>
            </w:r>
          </w:p>
        </w:tc>
        <w:tc>
          <w:tcPr>
            <w:tcW w:w="1245" w:type="dxa"/>
            <w:vAlign w:val="center"/>
          </w:tcPr>
          <w:p>
            <w:r>
              <w:t>3800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C3335</w:t>
            </w:r>
          </w:p>
        </w:tc>
        <w:tc>
          <w:tcPr>
            <w:tcW w:w="1245" w:type="dxa"/>
            <w:vAlign w:val="center"/>
          </w:tcPr>
          <w:p>
            <w:r>
              <w:t>3300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C3338</w:t>
            </w:r>
          </w:p>
        </w:tc>
        <w:tc>
          <w:tcPr>
            <w:tcW w:w="1245" w:type="dxa"/>
            <w:vAlign w:val="center"/>
          </w:tcPr>
          <w:p>
            <w:r>
              <w:t>3300</w:t>
            </w:r>
          </w:p>
        </w:tc>
        <w:tc>
          <w:tcPr>
            <w:tcW w:w="1245" w:type="dxa"/>
            <w:vAlign w:val="center"/>
          </w:tcPr>
          <w:p>
            <w:r>
              <w:t>3800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C3635</w:t>
            </w:r>
          </w:p>
        </w:tc>
        <w:tc>
          <w:tcPr>
            <w:tcW w:w="1245" w:type="dxa"/>
            <w:vAlign w:val="center"/>
          </w:tcPr>
          <w:p>
            <w:r>
              <w:t>3600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C3935</w:t>
            </w:r>
          </w:p>
        </w:tc>
        <w:tc>
          <w:tcPr>
            <w:tcW w:w="1245" w:type="dxa"/>
            <w:vAlign w:val="center"/>
          </w:tcPr>
          <w:p>
            <w:r>
              <w:t>3900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C4035</w:t>
            </w:r>
          </w:p>
        </w:tc>
        <w:tc>
          <w:tcPr>
            <w:tcW w:w="1245" w:type="dxa"/>
            <w:vAlign w:val="center"/>
          </w:tcPr>
          <w:p>
            <w:r>
              <w:t>4000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C4038</w:t>
            </w:r>
          </w:p>
        </w:tc>
        <w:tc>
          <w:tcPr>
            <w:tcW w:w="1245" w:type="dxa"/>
            <w:vAlign w:val="center"/>
          </w:tcPr>
          <w:p>
            <w:r>
              <w:t>4000</w:t>
            </w:r>
          </w:p>
        </w:tc>
        <w:tc>
          <w:tcPr>
            <w:tcW w:w="1245" w:type="dxa"/>
            <w:vAlign w:val="center"/>
          </w:tcPr>
          <w:p>
            <w:r>
              <w:t>3800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C4135</w:t>
            </w:r>
          </w:p>
        </w:tc>
        <w:tc>
          <w:tcPr>
            <w:tcW w:w="1245" w:type="dxa"/>
            <w:vAlign w:val="center"/>
          </w:tcPr>
          <w:p>
            <w:r>
              <w:t>4100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C5435</w:t>
            </w:r>
          </w:p>
        </w:tc>
        <w:tc>
          <w:tcPr>
            <w:tcW w:w="1245" w:type="dxa"/>
            <w:vAlign w:val="center"/>
          </w:tcPr>
          <w:p>
            <w:r>
              <w:t>5400</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DK1122</w:t>
            </w:r>
          </w:p>
        </w:tc>
        <w:tc>
          <w:tcPr>
            <w:tcW w:w="1245" w:type="dxa"/>
            <w:vAlign w:val="center"/>
          </w:tcPr>
          <w:p>
            <w:r>
              <w:t>1100</w:t>
            </w:r>
          </w:p>
        </w:tc>
        <w:tc>
          <w:tcPr>
            <w:tcW w:w="1245" w:type="dxa"/>
            <w:vAlign w:val="center"/>
          </w:tcPr>
          <w:p>
            <w:r>
              <w:t>2200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154058977"/>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8774</w:t>
            </w:r>
          </w:p>
        </w:tc>
        <w:tc>
          <w:tcPr>
            <w:tcW w:w="1245" w:type="dxa"/>
            <w:vAlign w:val="center"/>
          </w:tcPr>
          <w:p>
            <w:r>
              <w:t>3600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154058978"/>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191.28</w:t>
            </w:r>
          </w:p>
        </w:tc>
        <w:tc>
          <w:tcPr>
            <w:tcW w:w="1075" w:type="dxa"/>
            <w:vAlign w:val="center"/>
          </w:tcPr>
          <w:p>
            <w:r>
              <w:t>4.52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1001</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81.00</w:t>
            </w:r>
          </w:p>
        </w:tc>
        <w:tc>
          <w:tcPr>
            <w:tcW w:w="1075" w:type="dxa"/>
            <w:vAlign w:val="center"/>
          </w:tcPr>
          <w:p>
            <w:r>
              <w:t>3.87</w:t>
            </w:r>
          </w:p>
        </w:tc>
        <w:tc>
          <w:tcPr>
            <w:tcW w:w="1301" w:type="dxa"/>
            <w:vAlign w:val="center"/>
          </w:tcPr>
          <w:p>
            <w:r>
              <w:t>3.30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21.28</w:t>
            </w:r>
          </w:p>
        </w:tc>
        <w:tc>
          <w:tcPr>
            <w:tcW w:w="1075" w:type="dxa"/>
            <w:vAlign w:val="center"/>
          </w:tcPr>
          <w:p>
            <w:r>
              <w:t>3.33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1005</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28.90</w:t>
            </w:r>
          </w:p>
        </w:tc>
        <w:tc>
          <w:tcPr>
            <w:tcW w:w="1075" w:type="dxa"/>
            <w:vAlign w:val="center"/>
          </w:tcPr>
          <w:p>
            <w:r>
              <w:t>3.46</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12.06</w:t>
            </w:r>
          </w:p>
        </w:tc>
        <w:tc>
          <w:tcPr>
            <w:tcW w:w="1075" w:type="dxa"/>
            <w:vAlign w:val="center"/>
          </w:tcPr>
          <w:p>
            <w:r>
              <w:t>4.91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73.65</w:t>
            </w:r>
          </w:p>
        </w:tc>
        <w:tc>
          <w:tcPr>
            <w:tcW w:w="1075" w:type="dxa"/>
            <w:vAlign w:val="center"/>
          </w:tcPr>
          <w:p>
            <w:r>
              <w:t>3.30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2001</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52.15</w:t>
            </w:r>
          </w:p>
        </w:tc>
        <w:tc>
          <w:tcPr>
            <w:tcW w:w="1075" w:type="dxa"/>
            <w:vAlign w:val="center"/>
          </w:tcPr>
          <w:p>
            <w:r>
              <w:t>4.76</w:t>
            </w:r>
          </w:p>
        </w:tc>
        <w:tc>
          <w:tcPr>
            <w:tcW w:w="1301" w:type="dxa"/>
            <w:vAlign w:val="center"/>
          </w:tcPr>
          <w:p>
            <w:r>
              <w:t>3.30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48.03</w:t>
            </w:r>
          </w:p>
        </w:tc>
        <w:tc>
          <w:tcPr>
            <w:tcW w:w="1075" w:type="dxa"/>
            <w:vAlign w:val="center"/>
          </w:tcPr>
          <w:p>
            <w:r>
              <w:t>3.86</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2002</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180.44</w:t>
            </w:r>
          </w:p>
        </w:tc>
        <w:tc>
          <w:tcPr>
            <w:tcW w:w="1075" w:type="dxa"/>
            <w:vAlign w:val="center"/>
          </w:tcPr>
          <w:p>
            <w:r>
              <w:t>6.56</w:t>
            </w:r>
          </w:p>
        </w:tc>
        <w:tc>
          <w:tcPr>
            <w:tcW w:w="1301" w:type="dxa"/>
            <w:vAlign w:val="center"/>
          </w:tcPr>
          <w:p>
            <w:r>
              <w:t>3.30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30.57</w:t>
            </w:r>
          </w:p>
        </w:tc>
        <w:tc>
          <w:tcPr>
            <w:tcW w:w="1075" w:type="dxa"/>
            <w:vAlign w:val="center"/>
          </w:tcPr>
          <w:p>
            <w:r>
              <w:t>3.68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55.51</w:t>
            </w:r>
          </w:p>
        </w:tc>
        <w:tc>
          <w:tcPr>
            <w:tcW w:w="1075" w:type="dxa"/>
            <w:vAlign w:val="center"/>
          </w:tcPr>
          <w:p>
            <w:r>
              <w:t>3.93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3001</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55.03</w:t>
            </w:r>
          </w:p>
        </w:tc>
        <w:tc>
          <w:tcPr>
            <w:tcW w:w="1075" w:type="dxa"/>
            <w:vAlign w:val="center"/>
          </w:tcPr>
          <w:p>
            <w:r>
              <w:t>3.39</w:t>
            </w:r>
          </w:p>
        </w:tc>
        <w:tc>
          <w:tcPr>
            <w:tcW w:w="1301" w:type="dxa"/>
            <w:vAlign w:val="center"/>
          </w:tcPr>
          <w:p>
            <w:r>
              <w:t>3.30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23.25</w:t>
            </w:r>
          </w:p>
        </w:tc>
        <w:tc>
          <w:tcPr>
            <w:tcW w:w="1075" w:type="dxa"/>
            <w:vAlign w:val="center"/>
          </w:tcPr>
          <w:p>
            <w:r>
              <w:t>4.18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3002</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50.62</w:t>
            </w:r>
          </w:p>
        </w:tc>
        <w:tc>
          <w:tcPr>
            <w:tcW w:w="1075" w:type="dxa"/>
            <w:vAlign w:val="center"/>
          </w:tcPr>
          <w:p>
            <w:r>
              <w:t>4.22</w:t>
            </w:r>
          </w:p>
        </w:tc>
        <w:tc>
          <w:tcPr>
            <w:tcW w:w="1301" w:type="dxa"/>
            <w:vAlign w:val="center"/>
          </w:tcPr>
          <w:p>
            <w:r>
              <w:t>3.30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3003</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47.33</w:t>
            </w:r>
          </w:p>
        </w:tc>
        <w:tc>
          <w:tcPr>
            <w:tcW w:w="1075" w:type="dxa"/>
            <w:vAlign w:val="center"/>
          </w:tcPr>
          <w:p>
            <w:r>
              <w:t>4.47</w:t>
            </w:r>
          </w:p>
        </w:tc>
        <w:tc>
          <w:tcPr>
            <w:tcW w:w="1301" w:type="dxa"/>
            <w:vAlign w:val="center"/>
          </w:tcPr>
          <w:p>
            <w:r>
              <w:t>3.30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3004</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26.65</w:t>
            </w:r>
          </w:p>
        </w:tc>
        <w:tc>
          <w:tcPr>
            <w:tcW w:w="1075" w:type="dxa"/>
            <w:vAlign w:val="center"/>
          </w:tcPr>
          <w:p>
            <w:r>
              <w:t>4.27</w:t>
            </w:r>
          </w:p>
        </w:tc>
        <w:tc>
          <w:tcPr>
            <w:tcW w:w="1301" w:type="dxa"/>
            <w:vAlign w:val="center"/>
          </w:tcPr>
          <w:p>
            <w:r>
              <w:t>3.30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3006</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40.04</w:t>
            </w:r>
          </w:p>
        </w:tc>
        <w:tc>
          <w:tcPr>
            <w:tcW w:w="1075" w:type="dxa"/>
            <w:vAlign w:val="center"/>
          </w:tcPr>
          <w:p>
            <w:r>
              <w:t>4.26</w:t>
            </w:r>
          </w:p>
        </w:tc>
        <w:tc>
          <w:tcPr>
            <w:tcW w:w="1301" w:type="dxa"/>
            <w:vAlign w:val="center"/>
          </w:tcPr>
          <w:p>
            <w:r>
              <w:t>3.30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4</w:t>
            </w:r>
          </w:p>
        </w:tc>
        <w:tc>
          <w:tcPr>
            <w:tcW w:w="1075" w:type="dxa"/>
            <w:vAlign w:val="center"/>
          </w:tcPr>
          <w:p>
            <w:r>
              <w:t>4001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23.16</w:t>
            </w:r>
          </w:p>
        </w:tc>
        <w:tc>
          <w:tcPr>
            <w:tcW w:w="1075" w:type="dxa"/>
            <w:vAlign w:val="center"/>
          </w:tcPr>
          <w:p>
            <w:r>
              <w:t>4.28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4001</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52.39</w:t>
            </w:r>
          </w:p>
        </w:tc>
        <w:tc>
          <w:tcPr>
            <w:tcW w:w="1075" w:type="dxa"/>
            <w:vAlign w:val="center"/>
          </w:tcPr>
          <w:p>
            <w:r>
              <w:t>6.01</w:t>
            </w:r>
          </w:p>
        </w:tc>
        <w:tc>
          <w:tcPr>
            <w:tcW w:w="1301" w:type="dxa"/>
            <w:vAlign w:val="center"/>
          </w:tcPr>
          <w:p>
            <w:r>
              <w:t>3.30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4009</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28.42</w:t>
            </w:r>
          </w:p>
        </w:tc>
        <w:tc>
          <w:tcPr>
            <w:tcW w:w="1075" w:type="dxa"/>
            <w:vAlign w:val="center"/>
          </w:tcPr>
          <w:p>
            <w:r>
              <w:t>4.93</w:t>
            </w:r>
          </w:p>
        </w:tc>
        <w:tc>
          <w:tcPr>
            <w:tcW w:w="1301" w:type="dxa"/>
            <w:vAlign w:val="center"/>
          </w:tcPr>
          <w:p>
            <w:r>
              <w:t>3.30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7" w:name="_Toc154058979"/>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27622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2762250"/>
                    </a:xfrm>
                    <a:prstGeom prst="rect">
                      <a:avLst/>
                    </a:prstGeom>
                  </pic:spPr>
                </pic:pic>
              </a:graphicData>
            </a:graphic>
          </wp:inline>
        </w:drawing>
      </w:r>
    </w:p>
    <w:p>
      <w:r>
        <w:t>1层</w:t>
      </w:r>
    </w:p>
    <w:p>
      <w:r>
        <w:drawing>
          <wp:inline distT="0" distB="0" distL="0" distR="0">
            <wp:extent cx="5667375" cy="30099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3009900"/>
                    </a:xfrm>
                    <a:prstGeom prst="rect">
                      <a:avLst/>
                    </a:prstGeom>
                  </pic:spPr>
                </pic:pic>
              </a:graphicData>
            </a:graphic>
          </wp:inline>
        </w:drawing>
      </w:r>
    </w:p>
    <w:p>
      <w:r>
        <w:t>2层</w:t>
      </w:r>
    </w:p>
    <w:p>
      <w:r>
        <w:drawing>
          <wp:inline distT="0" distB="0" distL="0" distR="0">
            <wp:extent cx="5667375" cy="3438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3438525"/>
                    </a:xfrm>
                    <a:prstGeom prst="rect">
                      <a:avLst/>
                    </a:prstGeom>
                  </pic:spPr>
                </pic:pic>
              </a:graphicData>
            </a:graphic>
          </wp:inline>
        </w:drawing>
      </w:r>
    </w:p>
    <w:p>
      <w:r>
        <w:t>3层</w:t>
      </w:r>
    </w:p>
    <w:p>
      <w:r>
        <w:drawing>
          <wp:inline distT="0" distB="0" distL="0" distR="0">
            <wp:extent cx="5667375" cy="39433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3943350"/>
                    </a:xfrm>
                    <a:prstGeom prst="rect">
                      <a:avLst/>
                    </a:prstGeom>
                  </pic:spPr>
                </pic:pic>
              </a:graphicData>
            </a:graphic>
          </wp:inline>
        </w:drawing>
      </w:r>
    </w:p>
    <w:p>
      <w:r>
        <w:t>4层</w:t>
      </w:r>
    </w:p>
    <w:p/>
    <w:p>
      <w:pPr>
        <w:pStyle w:val="2"/>
        <w:ind w:left="432" w:hanging="432"/>
      </w:pPr>
      <w:bookmarkStart w:id="79" w:name="_Toc154058980"/>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20</w:t>
            </w:r>
          </w:p>
        </w:tc>
        <w:tc>
          <w:tcPr>
            <w:tcW w:w="1075" w:type="dxa"/>
            <w:vAlign w:val="center"/>
          </w:tcPr>
          <w:p>
            <w:r>
              <w:t>20</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1121.75</w:t>
            </w:r>
          </w:p>
        </w:tc>
        <w:tc>
          <w:tcPr>
            <w:tcW w:w="1075" w:type="dxa"/>
            <w:vAlign w:val="center"/>
          </w:tcPr>
          <w:p>
            <w:r>
              <w:t>1121.75</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ZDgxNjE5NmQzOWMzZTEyZmU4MzAwNmNiZjcwZjMifQ=="/>
  </w:docVars>
  <w:rsids>
    <w:rsidRoot w:val="000F5DD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5DDF"/>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B3398"/>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53AD"/>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21D7020B"/>
    <w:rsid w:val="6B59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autoRedefine/>
    <w:qFormat/>
    <w:uiPriority w:val="0"/>
    <w:pPr>
      <w:tabs>
        <w:tab w:val="center" w:pos="4153"/>
        <w:tab w:val="right" w:pos="8306"/>
      </w:tabs>
    </w:pPr>
    <w:rPr>
      <w:szCs w:val="18"/>
    </w:rPr>
  </w:style>
  <w:style w:type="paragraph" w:styleId="16">
    <w:name w:val="header"/>
    <w:basedOn w:val="1"/>
    <w:autoRedefine/>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autoRedefine/>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autoRedefine/>
    <w:qFormat/>
    <w:uiPriority w:val="0"/>
    <w:rPr>
      <w:rFonts w:eastAsia="微软雅黑"/>
      <w:b/>
      <w:bCs/>
      <w:kern w:val="32"/>
      <w:sz w:val="28"/>
      <w:szCs w:val="28"/>
    </w:rPr>
  </w:style>
  <w:style w:type="paragraph" w:styleId="27">
    <w:name w:val="List Paragraph"/>
    <w:basedOn w:val="1"/>
    <w:autoRedefine/>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tmp23</Template>
  <Company>ths</Company>
  <Pages>12</Pages>
  <Words>1051</Words>
  <Characters>5994</Characters>
  <Lines>49</Lines>
  <Paragraphs>14</Paragraphs>
  <TotalTime>0</TotalTime>
  <ScaleCrop>false</ScaleCrop>
  <LinksUpToDate>false</LinksUpToDate>
  <CharactersWithSpaces>7031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2023-12-21T05:49:00Z</dcterms:created>
  <dc:creator>Liu</dc:creator>
  <cp:lastModifiedBy>啊日</cp:lastModifiedBy>
  <cp:lastPrinted>2411-12-31T16:00:00Z</cp:lastPrinted>
  <dcterms:modified xsi:type="dcterms:W3CDTF">2024-01-10T13:43:01Z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8A165D9DC03E44DE882E872271EBA691_13</vt:lpwstr>
  </property>
</Properties>
</file>