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  <w:vAlign w:val="top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宜居康养——温泉山谷绿色小镇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rPr>
                <w:rFonts w:hint="eastAsia"/>
                <w:lang w:val="en-US" w:eastAsia="zh-CN"/>
              </w:rPr>
              <w:t>云南昆明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2023年12月27日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T18314096824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"_Toc79588823"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_Toc79588823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_Toc79588824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_Toc79588825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_Toc79588826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_Toc79588827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_Toc79588828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_Toc79588829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_Toc79588830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_Toc79588831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_Toc79588832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_Toc79588833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参评时间段</w:t>
      </w:r>
      <w:r>
        <w:tab/>
      </w:r>
      <w:r>
        <w:fldChar w:fldCharType="begin"/>
      </w:r>
      <w:r>
        <w:instrText xml:space="preserve"> PAGEREF _Toc79588834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_Toc79588835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_Toc79588836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_Toc79588837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_Toc79588838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_Toc79588839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"_Toc79588840"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_Toc79588840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452108759"/>
      <w:bookmarkStart w:id="12" w:name="_Toc79588823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79588824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bookmarkStart w:id="61" w:name="_GoBack"/>
      <w:r>
        <w:drawing>
          <wp:inline distT="0" distB="0" distL="0" distR="0">
            <wp:extent cx="5667375" cy="24955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1"/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1~4层平面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79588825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《绿色建筑评价标准》（京津冀）DB11/T 825-2021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2108764"/>
      <w:bookmarkStart w:id="29" w:name="_Toc451698935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《绿色建筑评价标准》（京津冀）DB11/T 825-2021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79588828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79588829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79588830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79588831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79588832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昆明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79588833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8.9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18.9~25.9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19.9~26.9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79588835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bookmarkStart w:id="44" w:name="表名"/>
      <w:r>
        <w:rPr>
          <w:rFonts w:hint="eastAsia"/>
        </w:rPr>
        <w:t>屋顶构造一</w:t>
      </w:r>
      <w:bookmarkEnd w:id="44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45" w:name="表"/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  <w:bookmarkEnd w:id="45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6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  <w:bookmarkEnd w:id="4"/>
      <w:bookmarkEnd w:id="46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7" w:name="围护结构"/>
      <w:r>
        <w:rPr>
          <w:rFonts w:hint="eastAsia"/>
        </w:rPr>
        <w:t xml:space="preserve"> </w:t>
      </w:r>
      <w:bookmarkEnd w:id="47"/>
    </w:p>
    <w:p>
      <w:pPr>
        <w:pStyle w:val="5"/>
      </w:pPr>
      <w:bookmarkStart w:id="48" w:name="_Toc79588836"/>
      <w:r>
        <w:rPr>
          <w:rFonts w:hint="eastAsia"/>
        </w:rPr>
        <w:t>房间类型参数</w:t>
      </w:r>
      <w:bookmarkEnd w:id="48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照明功率</w:t>
            </w:r>
          </w:p>
          <w:p>
            <w:pPr>
              <w:jc w:val="center"/>
            </w:pP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电器设备</w:t>
            </w:r>
          </w:p>
          <w:p>
            <w:pPr>
              <w:jc w:val="center"/>
            </w:pP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9" w:name="标题"/>
      <w:r>
        <w:rPr>
          <w:lang w:val="en-US"/>
        </w:rPr>
        <w:t>工作日/节假日人员逐时在室率(%)</w:t>
      </w:r>
      <w:bookmarkEnd w:id="49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>
      <w:pPr>
        <w:pStyle w:val="2"/>
      </w:pPr>
      <w:bookmarkStart w:id="51" w:name="_Toc3745"/>
      <w:bookmarkStart w:id="52" w:name="_Toc79588837"/>
      <w:bookmarkStart w:id="53" w:name="_Toc452108768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>
      <w:pPr>
        <w:pStyle w:val="4"/>
      </w:pPr>
      <w:bookmarkStart w:id="54" w:name="_Toc79588838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1001@1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49.60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49.82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48.96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36.26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35.61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37.58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36.45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55.68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55.83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33.45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33.72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37.63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38.96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38.95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1024@1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38.37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1025@1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27.96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1026@1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27.55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1028@1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27.99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51.79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51.96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39.77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39.08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40.51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39.92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55.63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55.88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37.90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33.62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37.41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42.68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44.11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44.11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1028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32.13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1001@4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51.59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51.77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52.04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41.24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40.41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41.88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14.0</w:t>
            </w:r>
          </w:p>
        </w:tc>
        <w:tc>
          <w:tcPr>
            <w:vAlign w:val="center"/>
          </w:tcPr>
          <w:p>
            <w:r>
              <w:t>41.42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56.59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56.88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11.2</w:t>
            </w:r>
          </w:p>
        </w:tc>
        <w:tc>
          <w:tcPr>
            <w:vAlign w:val="center"/>
          </w:tcPr>
          <w:p>
            <w:r>
              <w:t>56.76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5.2</w:t>
            </w:r>
          </w:p>
        </w:tc>
        <w:tc>
          <w:tcPr>
            <w:vAlign w:val="center"/>
          </w:tcPr>
          <w:p>
            <w:r>
              <w:t>35.00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37.69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3.2</w:t>
            </w:r>
          </w:p>
        </w:tc>
        <w:tc>
          <w:tcPr>
            <w:vAlign w:val="center"/>
          </w:tcPr>
          <w:p>
            <w:r>
              <w:t>38.33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1024@4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43.69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1025@4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33.47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1026@4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38.38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1028@4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33.44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47.35%</w:t>
            </w:r>
          </w:p>
        </w:tc>
      </w:tr>
      <w:bookmarkEnd w:id="55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7" w:name="_Toc79588839"/>
      <w:r>
        <w:rPr>
          <w:rFonts w:hint="eastAsia"/>
        </w:rPr>
        <w:t>结论</w:t>
      </w:r>
      <w:bookmarkEnd w:id="57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47.35%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3</w:t>
      </w:r>
      <w:bookmarkEnd w:id="59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lkNzY4MGVkY2UxZWRhZmVhZmI4ZGRhOTNlNjVkNzgifQ=="/>
  </w:docVars>
  <w:rsids>
    <w:rsidRoot w:val="00217F62"/>
    <w:rsid w:val="001915A3"/>
    <w:rsid w:val="00217F62"/>
    <w:rsid w:val="00A906D8"/>
    <w:rsid w:val="00AB5A74"/>
    <w:rsid w:val="00F071AE"/>
    <w:rsid w:val="60D333C6"/>
    <w:rsid w:val="716E6205"/>
    <w:rsid w:val="79A436FA"/>
    <w:rsid w:val="7AA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autoRedefine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autoRedefine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autoRedefine/>
    <w:unhideWhenUsed/>
    <w:qFormat/>
    <w:uiPriority w:val="99"/>
    <w:rPr>
      <w:color w:val="800080"/>
      <w:u w:val="single"/>
    </w:rPr>
  </w:style>
  <w:style w:type="character" w:styleId="25">
    <w:name w:val="Emphasis"/>
    <w:autoRedefine/>
    <w:qFormat/>
    <w:uiPriority w:val="20"/>
    <w:rPr>
      <w:color w:val="CC0000"/>
    </w:rPr>
  </w:style>
  <w:style w:type="character" w:styleId="26">
    <w:name w:val="Hyperlink"/>
    <w:autoRedefine/>
    <w:qFormat/>
    <w:uiPriority w:val="99"/>
    <w:rPr>
      <w:color w:val="0000FF"/>
      <w:u w:val="single"/>
    </w:rPr>
  </w:style>
  <w:style w:type="character" w:customStyle="1" w:styleId="27">
    <w:name w:val="标题 1 Char"/>
    <w:link w:val="2"/>
    <w:autoRedefine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autoRedefine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autoRedefine/>
    <w:qFormat/>
    <w:uiPriority w:val="0"/>
    <w:rPr>
      <w:rFonts w:ascii="宋体"/>
      <w:sz w:val="21"/>
    </w:rPr>
  </w:style>
  <w:style w:type="paragraph" w:styleId="32">
    <w:name w:val="List Paragraph"/>
    <w:basedOn w:val="1"/>
    <w:autoRedefine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autoRedefine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autoRedefine/>
    <w:qFormat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qFormat/>
    <w:uiPriority w:val="99"/>
    <w:rPr>
      <w:color w:val="808080"/>
    </w:rPr>
  </w:style>
  <w:style w:type="paragraph" w:styleId="36">
    <w:name w:val="No Spacing"/>
    <w:autoRedefine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autoRedefine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autoRedefine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autoRedefine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autoRedefine/>
    <w:qFormat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autoRedefine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Company>ths</Company>
  <Pages>9</Pages>
  <Words>498</Words>
  <Characters>2840</Characters>
  <Lines>23</Lines>
  <Paragraphs>6</Paragraphs>
  <TotalTime>1</TotalTime>
  <ScaleCrop>false</ScaleCrop>
  <LinksUpToDate>false</LinksUpToDate>
  <CharactersWithSpaces>3332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2021-08-11T07:39:00Z</dcterms:created>
  <dc:creator>sware</dc:creator>
  <cp:lastModifiedBy>Lenovo</cp:lastModifiedBy>
  <cp:lastPrinted>1900-12-31T16:00:00Z</cp:lastPrinted>
  <dcterms:modified xsi:type="dcterms:W3CDTF">2024-01-02T13:14:09Z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5D1B3559449F40DB85BDD0C6BE24568D_12</vt:lpwstr>
  </property>
</Properties>
</file>