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0" w:name="_GoBack"/>
      <w:bookmarkEnd w:id="50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四川-攀枝花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2023年12月19日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T18048468383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"_Toc153838080"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_Toc153838080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_Toc153838081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_Toc153838082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_Toc153838083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可开启面积</w:t>
      </w:r>
      <w:r>
        <w:tab/>
      </w:r>
      <w:r>
        <w:fldChar w:fldCharType="begin"/>
      </w:r>
      <w:r>
        <w:instrText xml:space="preserve"> PAGEREF _Toc153838084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"_Toc153838085"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_Toc153838085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"_Toc153838086"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_Toc153838086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"_Toc153838087"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_Toc153838087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"_Toc153838088"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_Toc153838088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"_Toc153838089"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_Toc153838089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"_Toc153838090"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_Toc153838090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"_Toc153838091"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_Toc153838091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"_Toc153838092" </w:instrText>
      </w:r>
      <w:r>
        <w:fldChar w:fldCharType="separate"/>
      </w:r>
      <w:r>
        <w:rPr>
          <w:rStyle w:val="21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_Toc153838092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"_Toc153838093" </w:instrText>
      </w:r>
      <w:r>
        <w:fldChar w:fldCharType="separate"/>
      </w:r>
      <w:r>
        <w:rPr>
          <w:rStyle w:val="21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传热系数</w:t>
      </w:r>
      <w:r>
        <w:tab/>
      </w:r>
      <w:r>
        <w:fldChar w:fldCharType="begin"/>
      </w:r>
      <w:r>
        <w:instrText xml:space="preserve"> PAGEREF _Toc153838093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"_Toc153838094" </w:instrText>
      </w:r>
      <w:r>
        <w:fldChar w:fldCharType="separate"/>
      </w:r>
      <w:r>
        <w:rPr>
          <w:rStyle w:val="21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外遮阳类型</w:t>
      </w:r>
      <w:r>
        <w:tab/>
      </w:r>
      <w:r>
        <w:fldChar w:fldCharType="begin"/>
      </w:r>
      <w:r>
        <w:instrText xml:space="preserve"> PAGEREF _Toc153838094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"_Toc153838095" </w:instrText>
      </w:r>
      <w:r>
        <w:fldChar w:fldCharType="separate"/>
      </w:r>
      <w:r>
        <w:rPr>
          <w:rStyle w:val="21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太阳得热系数</w:t>
      </w:r>
      <w:r>
        <w:tab/>
      </w:r>
      <w:r>
        <w:fldChar w:fldCharType="begin"/>
      </w:r>
      <w:r>
        <w:instrText xml:space="preserve"> PAGEREF _Toc153838095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"_Toc153838096"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_Toc153838096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153838080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四川-攀枝花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26.58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101.72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215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826.39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418.82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153838081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《四川省居住建筑节能65%设计导则》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3838082"/>
      <w:r>
        <w:rPr>
          <w:kern w:val="2"/>
          <w:szCs w:val="24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313"/>
        <w:gridCol w:w="1329"/>
        <w:gridCol w:w="1094"/>
        <w:gridCol w:w="1313"/>
        <w:gridCol w:w="19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防水层(沥青油毡、油毡纸)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憎水性珍珠岩板</w:t>
            </w:r>
          </w:p>
        </w:tc>
        <w:tc>
          <w:tcPr>
            <w:tcW w:w="1018" w:type="dxa"/>
            <w:vAlign w:val="center"/>
          </w:tcPr>
          <w:p>
            <w:r>
              <w:t>0.120</w:t>
            </w:r>
          </w:p>
        </w:tc>
        <w:tc>
          <w:tcPr>
            <w:tcW w:w="1030" w:type="dxa"/>
            <w:vAlign w:val="center"/>
          </w:tcPr>
          <w:p>
            <w:r>
              <w:t>2.030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1180.0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挤塑聚苯乙烯泡沫板（XPS）(ρ=30)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4455.3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6" w:name="_Toc153838083"/>
      <w:r>
        <w:rPr>
          <w:kern w:val="2"/>
          <w:szCs w:val="24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30mm＋防水层(沥青油毡、油毡纸) 20mm＋</w:t>
      </w:r>
      <w:r>
        <w:rPr>
          <w:color w:val="800000"/>
          <w:kern w:val="2"/>
          <w:szCs w:val="24"/>
          <w:lang w:val="en-US"/>
        </w:rPr>
        <w:t>憎水性珍珠岩板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聚合物砂浆（网格布） 8mm＋</w:t>
      </w:r>
      <w:r>
        <w:rPr>
          <w:color w:val="800000"/>
          <w:kern w:val="2"/>
          <w:szCs w:val="24"/>
          <w:lang w:val="en-US"/>
        </w:rPr>
        <w:t>挤塑聚苯乙烯泡沫板（XPS）(ρ=30)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Cs w:val="21"/>
          <w:lang w:val="en-US"/>
        </w:rPr>
        <w:t>6低透光热反射+12A+6透明：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传热系数2.300W/m^2.K，自身遮阳系数0.180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7" w:name="_Toc153838084"/>
      <w:r>
        <w:rPr>
          <w:color w:val="000000"/>
          <w:kern w:val="2"/>
          <w:szCs w:val="24"/>
        </w:rPr>
        <w:t>可开启面积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962" w:type="dxa"/>
            <w:vAlign w:val="center"/>
          </w:tcPr>
          <w:p>
            <w:r>
              <w:t>1005(最不利房间)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18.66</w:t>
            </w:r>
          </w:p>
        </w:tc>
        <w:tc>
          <w:tcPr>
            <w:tcW w:w="962" w:type="dxa"/>
            <w:vAlign w:val="center"/>
          </w:tcPr>
          <w:p>
            <w:r>
              <w:t>C2815</w:t>
            </w:r>
          </w:p>
        </w:tc>
        <w:tc>
          <w:tcPr>
            <w:tcW w:w="735" w:type="dxa"/>
            <w:vAlign w:val="center"/>
          </w:tcPr>
          <w:p>
            <w:r>
              <w:t>4.22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848" w:type="dxa"/>
            <w:vAlign w:val="center"/>
          </w:tcPr>
          <w:p>
            <w:r>
              <w:t>0.23</w:t>
            </w:r>
          </w:p>
        </w:tc>
        <w:tc>
          <w:tcPr>
            <w:tcW w:w="848" w:type="dxa"/>
            <w:vAlign w:val="center"/>
          </w:tcPr>
          <w:p>
            <w:r>
              <w:t>0.07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－</w:t>
            </w:r>
          </w:p>
        </w:tc>
        <w:tc>
          <w:tcPr>
            <w:tcW w:w="803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《四川省居住建筑节能65%设计导则》第3.3.2条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可开启面积不应小于地面积5%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8" w:name="_Toc153838085"/>
      <w:r>
        <w:rPr>
          <w:color w:val="000000"/>
          <w:kern w:val="2"/>
          <w:szCs w:val="24"/>
        </w:rPr>
        <w:t>屋顶构造</w:t>
      </w:r>
      <w:bookmarkEnd w:id="38"/>
    </w:p>
    <w:p>
      <w:pPr>
        <w:pStyle w:val="4"/>
        <w:widowControl w:val="0"/>
        <w:rPr>
          <w:kern w:val="2"/>
        </w:rPr>
      </w:pPr>
      <w:bookmarkStart w:id="39" w:name="_Toc153838086"/>
      <w:r>
        <w:rPr>
          <w:kern w:val="2"/>
        </w:rPr>
        <w:t>屋顶构造一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0.032</w:t>
            </w:r>
          </w:p>
        </w:tc>
        <w:tc>
          <w:tcPr>
            <w:tcW w:w="1064" w:type="dxa"/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0.118</w:t>
            </w:r>
          </w:p>
        </w:tc>
        <w:tc>
          <w:tcPr>
            <w:tcW w:w="1064" w:type="dxa"/>
            <w:vAlign w:val="center"/>
          </w:tcPr>
          <w:p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憎水性珍珠岩板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0.120</w:t>
            </w:r>
          </w:p>
        </w:tc>
        <w:tc>
          <w:tcPr>
            <w:tcW w:w="1075" w:type="dxa"/>
            <w:vAlign w:val="center"/>
          </w:tcPr>
          <w:p>
            <w:r>
              <w:t>2.030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0.667</w:t>
            </w:r>
          </w:p>
        </w:tc>
        <w:tc>
          <w:tcPr>
            <w:tcW w:w="1064" w:type="dxa"/>
            <w:vAlign w:val="center"/>
          </w:tcPr>
          <w:p>
            <w:r>
              <w:t>2.030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0.907</w:t>
            </w:r>
          </w:p>
        </w:tc>
        <w:tc>
          <w:tcPr>
            <w:tcW w:w="1064" w:type="dxa"/>
            <w:vAlign w:val="center"/>
          </w:tcPr>
          <w:p>
            <w:r>
              <w:t>4.216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《四川省居住建筑节能65%设计导则》第4.1.1条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D≤2.5, K≤0.8 或 D&gt;2.5, K≤1.0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0" w:name="_Toc153838087"/>
      <w:r>
        <w:rPr>
          <w:color w:val="000000"/>
          <w:kern w:val="2"/>
          <w:szCs w:val="24"/>
        </w:rPr>
        <w:t>外墙构造</w:t>
      </w:r>
      <w:bookmarkEnd w:id="40"/>
    </w:p>
    <w:p>
      <w:pPr>
        <w:pStyle w:val="4"/>
        <w:widowControl w:val="0"/>
        <w:rPr>
          <w:kern w:val="2"/>
        </w:rPr>
      </w:pPr>
      <w:bookmarkStart w:id="41" w:name="_Toc153838088"/>
      <w:r>
        <w:rPr>
          <w:kern w:val="2"/>
        </w:rPr>
        <w:t>外墙相关构造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2" w:name="_Toc153838089"/>
      <w:r>
        <w:rPr>
          <w:color w:val="000000"/>
          <w:kern w:val="2"/>
          <w:szCs w:val="24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r>
              <w:t>8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0.009</w:t>
            </w:r>
          </w:p>
        </w:tc>
        <w:tc>
          <w:tcPr>
            <w:tcW w:w="1064" w:type="dxa"/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0.450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253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0.978</w:t>
            </w:r>
          </w:p>
        </w:tc>
        <w:tc>
          <w:tcPr>
            <w:tcW w:w="1064" w:type="dxa"/>
            <w:vAlign w:val="center"/>
          </w:tcPr>
          <w:p>
            <w:r>
              <w:t>2.769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3838090"/>
      <w:r>
        <w:rPr>
          <w:kern w:val="2"/>
        </w:rPr>
        <w:t>外墙平均热工特性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56.57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0.89</w:t>
            </w:r>
          </w:p>
        </w:tc>
        <w:tc>
          <w:tcPr>
            <w:tcW w:w="1107" w:type="dxa"/>
            <w:vAlign w:val="center"/>
          </w:tcPr>
          <w:p>
            <w:r>
              <w:t>2.77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《四川省居住建筑节能65%设计导则》第4.1.1条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D≤2.5, K≤1.5 或 D&gt;2.5, 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57.53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0.89</w:t>
            </w:r>
          </w:p>
        </w:tc>
        <w:tc>
          <w:tcPr>
            <w:tcW w:w="1107" w:type="dxa"/>
            <w:vAlign w:val="center"/>
          </w:tcPr>
          <w:p>
            <w:r>
              <w:t>2.77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《四川省居住建筑节能65%设计导则》第4.1.1条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D≤2.5, K≤1.5 或 D&gt;2.5, 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71.49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0.89</w:t>
            </w:r>
          </w:p>
        </w:tc>
        <w:tc>
          <w:tcPr>
            <w:tcW w:w="1107" w:type="dxa"/>
            <w:vAlign w:val="center"/>
          </w:tcPr>
          <w:p>
            <w:r>
              <w:t>2.77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《四川省居住建筑节能65%设计导则》第4.1.1条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D≤2.5, K≤1.5 或 D&gt;2.5, 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52.71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0.89</w:t>
            </w:r>
          </w:p>
        </w:tc>
        <w:tc>
          <w:tcPr>
            <w:tcW w:w="1107" w:type="dxa"/>
            <w:vAlign w:val="center"/>
          </w:tcPr>
          <w:p>
            <w:r>
              <w:t>2.77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《四川省居住建筑节能65%设计导则》第4.1.1条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D≤2.5, K≤1.0 或 D&gt;2.5, K≤1.8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238.30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0.89</w:t>
            </w:r>
          </w:p>
        </w:tc>
        <w:tc>
          <w:tcPr>
            <w:tcW w:w="1107" w:type="dxa"/>
            <w:vAlign w:val="center"/>
          </w:tcPr>
          <w:p>
            <w:r>
              <w:t>2.77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考虑热桥后D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2.77 × 1.00 = 2.77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4" w:name="_Toc153838091"/>
      <w:r>
        <w:rPr>
          <w:color w:val="000000"/>
          <w:kern w:val="2"/>
          <w:szCs w:val="24"/>
        </w:rPr>
        <w:t>外窗热工</w:t>
      </w:r>
      <w:bookmarkEnd w:id="44"/>
    </w:p>
    <w:p>
      <w:pPr>
        <w:pStyle w:val="4"/>
        <w:widowControl w:val="0"/>
        <w:rPr>
          <w:kern w:val="2"/>
        </w:rPr>
      </w:pPr>
      <w:bookmarkStart w:id="45" w:name="_Toc153838092"/>
      <w:r>
        <w:rPr>
          <w:kern w:val="2"/>
        </w:rPr>
        <w:t>外窗构造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6低透光热反射+12A+6透明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2.30</w:t>
            </w:r>
          </w:p>
        </w:tc>
        <w:tc>
          <w:tcPr>
            <w:tcW w:w="956" w:type="dxa"/>
            <w:vAlign w:val="center"/>
          </w:tcPr>
          <w:p>
            <w:r>
              <w:t>0.18</w:t>
            </w:r>
          </w:p>
        </w:tc>
        <w:tc>
          <w:tcPr>
            <w:tcW w:w="956" w:type="dxa"/>
            <w:vAlign w:val="center"/>
          </w:tcPr>
          <w:p>
            <w:r>
              <w:t>0.160</w:t>
            </w:r>
          </w:p>
        </w:tc>
        <w:tc>
          <w:tcPr>
            <w:tcW w:w="2988" w:type="dxa"/>
            <w:vAlign w:val="center"/>
          </w:tcPr>
          <w:p>
            <w:r>
              <w:t>可见光透射比=0.160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6" w:name="_Toc153838093"/>
      <w:r>
        <w:rPr>
          <w:kern w:val="2"/>
        </w:rPr>
        <w:t>传热系数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00"/>
        <w:gridCol w:w="1264"/>
        <w:gridCol w:w="775"/>
        <w:gridCol w:w="1619"/>
        <w:gridCol w:w="775"/>
        <w:gridCol w:w="775"/>
        <w:gridCol w:w="775"/>
        <w:gridCol w:w="899"/>
        <w:gridCol w:w="8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房间功能</w:t>
            </w:r>
          </w:p>
        </w:tc>
        <w:tc>
          <w:tcPr>
            <w:tcW w:w="77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外窗编号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>
            <w:pPr>
              <w:jc w:val="center"/>
            </w:pPr>
            <w:r>
              <w:t>外窗面积</w:t>
            </w:r>
          </w:p>
        </w:tc>
        <w:tc>
          <w:tcPr>
            <w:tcW w:w="77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>
            <w:pPr>
              <w:jc w:val="center"/>
            </w:pPr>
            <w:r>
              <w:t>外窗K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外窗K限值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899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1262" w:type="dxa"/>
            <w:vMerge w:val="restart"/>
            <w:vAlign w:val="center"/>
          </w:tcPr>
          <w:p>
            <w:r>
              <w:t>餐厅</w:t>
            </w:r>
          </w:p>
        </w:tc>
        <w:tc>
          <w:tcPr>
            <w:tcW w:w="775" w:type="dxa"/>
            <w:vAlign w:val="center"/>
          </w:tcPr>
          <w:p>
            <w:r>
              <w:t>南向</w:t>
            </w:r>
          </w:p>
        </w:tc>
        <w:tc>
          <w:tcPr>
            <w:tcW w:w="1618" w:type="dxa"/>
            <w:vAlign w:val="center"/>
          </w:tcPr>
          <w:p>
            <w:r>
              <w:t>C1215</w:t>
            </w:r>
          </w:p>
        </w:tc>
        <w:tc>
          <w:tcPr>
            <w:tcW w:w="775" w:type="dxa"/>
            <w:vAlign w:val="center"/>
          </w:tcPr>
          <w:p>
            <w:r>
              <w:t>1.80</w:t>
            </w:r>
          </w:p>
        </w:tc>
        <w:tc>
          <w:tcPr>
            <w:tcW w:w="775" w:type="dxa"/>
            <w:vAlign w:val="center"/>
          </w:tcPr>
          <w:p>
            <w:r>
              <w:t>18</w:t>
            </w:r>
          </w:p>
        </w:tc>
        <w:tc>
          <w:tcPr>
            <w:tcW w:w="775" w:type="dxa"/>
            <w:vAlign w:val="center"/>
          </w:tcPr>
          <w:p>
            <w:r>
              <w:t>2.30</w:t>
            </w:r>
          </w:p>
        </w:tc>
        <w:tc>
          <w:tcPr>
            <w:tcW w:w="899" w:type="dxa"/>
            <w:vMerge w:val="restart"/>
            <w:vAlign w:val="center"/>
          </w:tcPr>
          <w:p>
            <w:r>
              <w:t>6.00</w:t>
            </w:r>
          </w:p>
        </w:tc>
        <w:tc>
          <w:tcPr>
            <w:tcW w:w="8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/>
        </w:tc>
        <w:tc>
          <w:tcPr>
            <w:tcW w:w="899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775" w:type="dxa"/>
            <w:vAlign w:val="center"/>
          </w:tcPr>
          <w:p>
            <w:r>
              <w:t>西向</w:t>
            </w:r>
          </w:p>
        </w:tc>
        <w:tc>
          <w:tcPr>
            <w:tcW w:w="1618" w:type="dxa"/>
            <w:vAlign w:val="center"/>
          </w:tcPr>
          <w:p>
            <w:r>
              <w:t>C3915</w:t>
            </w:r>
          </w:p>
        </w:tc>
        <w:tc>
          <w:tcPr>
            <w:tcW w:w="775" w:type="dxa"/>
            <w:vAlign w:val="center"/>
          </w:tcPr>
          <w:p>
            <w:r>
              <w:t>5.85</w:t>
            </w:r>
          </w:p>
        </w:tc>
        <w:tc>
          <w:tcPr>
            <w:tcW w:w="775" w:type="dxa"/>
            <w:vAlign w:val="center"/>
          </w:tcPr>
          <w:p>
            <w:r>
              <w:t>18</w:t>
            </w:r>
          </w:p>
        </w:tc>
        <w:tc>
          <w:tcPr>
            <w:tcW w:w="775" w:type="dxa"/>
            <w:vAlign w:val="center"/>
          </w:tcPr>
          <w:p>
            <w:r>
              <w:t>2.30</w:t>
            </w:r>
          </w:p>
        </w:tc>
        <w:tc>
          <w:tcPr>
            <w:tcW w:w="899" w:type="dxa"/>
            <w:vMerge w:val="continue"/>
            <w:vAlign w:val="center"/>
          </w:tcPr>
          <w:p/>
        </w:tc>
        <w:tc>
          <w:tcPr>
            <w:tcW w:w="8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05" w:type="dxa"/>
            <w:gridSpan w:val="7"/>
            <w:vAlign w:val="center"/>
          </w:tcPr>
          <w:p>
            <w:r>
              <w:t>《四川省居住建筑节能65%设计导则》第4.1.2条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05" w:type="dxa"/>
            <w:gridSpan w:val="7"/>
            <w:vAlign w:val="center"/>
          </w:tcPr>
          <w:p>
            <w:r>
              <w:t>不同朝向外窗其传热系数应符合表4.1.2的规定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05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注：达标时只列出一个房间，不达标时列出全部不达标房间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7" w:name="_Toc153838094"/>
      <w:r>
        <w:rPr>
          <w:kern w:val="2"/>
        </w:rPr>
        <w:t>外遮阳类型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>
      <w:pPr>
        <w:pStyle w:val="4"/>
        <w:widowControl w:val="0"/>
        <w:rPr>
          <w:kern w:val="2"/>
        </w:rPr>
      </w:pPr>
      <w:bookmarkStart w:id="48" w:name="_Toc153838095"/>
      <w:r>
        <w:rPr>
          <w:kern w:val="2"/>
        </w:rPr>
        <w:t>太阳得热系数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32"/>
        <w:gridCol w:w="724"/>
        <w:gridCol w:w="1076"/>
        <w:gridCol w:w="719"/>
        <w:gridCol w:w="719"/>
        <w:gridCol w:w="719"/>
        <w:gridCol w:w="968"/>
        <w:gridCol w:w="719"/>
        <w:gridCol w:w="719"/>
        <w:gridCol w:w="719"/>
        <w:gridCol w:w="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24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外窗编号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外窗面积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窗自身太阳得热系数</w:t>
            </w:r>
          </w:p>
        </w:tc>
        <w:tc>
          <w:tcPr>
            <w:tcW w:w="96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太阳得热系数限值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832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724" w:type="dxa"/>
            <w:vAlign w:val="center"/>
          </w:tcPr>
          <w:p>
            <w:r>
              <w:t>南向</w:t>
            </w:r>
          </w:p>
        </w:tc>
        <w:tc>
          <w:tcPr>
            <w:tcW w:w="1075" w:type="dxa"/>
            <w:vAlign w:val="center"/>
          </w:tcPr>
          <w:p>
            <w:r>
              <w:t>C1215</w:t>
            </w:r>
          </w:p>
        </w:tc>
        <w:tc>
          <w:tcPr>
            <w:tcW w:w="718" w:type="dxa"/>
            <w:vAlign w:val="center"/>
          </w:tcPr>
          <w:p>
            <w:r>
              <w:t>1.80</w:t>
            </w:r>
          </w:p>
        </w:tc>
        <w:tc>
          <w:tcPr>
            <w:tcW w:w="718" w:type="dxa"/>
            <w:vAlign w:val="center"/>
          </w:tcPr>
          <w:p>
            <w:r>
              <w:t>18</w:t>
            </w:r>
          </w:p>
        </w:tc>
        <w:tc>
          <w:tcPr>
            <w:tcW w:w="718" w:type="dxa"/>
            <w:vAlign w:val="center"/>
          </w:tcPr>
          <w:p>
            <w:r>
              <w:t>0.16</w:t>
            </w:r>
          </w:p>
        </w:tc>
        <w:tc>
          <w:tcPr>
            <w:tcW w:w="967" w:type="dxa"/>
            <w:vAlign w:val="center"/>
          </w:tcPr>
          <w:p/>
        </w:tc>
        <w:tc>
          <w:tcPr>
            <w:tcW w:w="718" w:type="dxa"/>
            <w:vAlign w:val="center"/>
          </w:tcPr>
          <w:p>
            <w:r>
              <w:t>1.00</w:t>
            </w:r>
          </w:p>
        </w:tc>
        <w:tc>
          <w:tcPr>
            <w:tcW w:w="718" w:type="dxa"/>
            <w:vAlign w:val="center"/>
          </w:tcPr>
          <w:p>
            <w:r>
              <w:t>0.16</w:t>
            </w:r>
          </w:p>
        </w:tc>
        <w:tc>
          <w:tcPr>
            <w:tcW w:w="718" w:type="dxa"/>
            <w:vAlign w:val="center"/>
          </w:tcPr>
          <w:p>
            <w:r>
              <w:t>1.00</w:t>
            </w:r>
          </w:p>
        </w:tc>
        <w:tc>
          <w:tcPr>
            <w:tcW w:w="89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/>
        </w:tc>
        <w:tc>
          <w:tcPr>
            <w:tcW w:w="832" w:type="dxa"/>
            <w:vMerge w:val="continue"/>
            <w:vAlign w:val="center"/>
          </w:tcPr>
          <w:p/>
        </w:tc>
        <w:tc>
          <w:tcPr>
            <w:tcW w:w="724" w:type="dxa"/>
            <w:vAlign w:val="center"/>
          </w:tcPr>
          <w:p>
            <w:r>
              <w:t>西向</w:t>
            </w:r>
          </w:p>
        </w:tc>
        <w:tc>
          <w:tcPr>
            <w:tcW w:w="1075" w:type="dxa"/>
            <w:vAlign w:val="center"/>
          </w:tcPr>
          <w:p>
            <w:r>
              <w:t>C3915</w:t>
            </w:r>
          </w:p>
        </w:tc>
        <w:tc>
          <w:tcPr>
            <w:tcW w:w="718" w:type="dxa"/>
            <w:vAlign w:val="center"/>
          </w:tcPr>
          <w:p>
            <w:r>
              <w:t>5.85</w:t>
            </w:r>
          </w:p>
        </w:tc>
        <w:tc>
          <w:tcPr>
            <w:tcW w:w="718" w:type="dxa"/>
            <w:vAlign w:val="center"/>
          </w:tcPr>
          <w:p>
            <w:r>
              <w:t>18</w:t>
            </w:r>
          </w:p>
        </w:tc>
        <w:tc>
          <w:tcPr>
            <w:tcW w:w="718" w:type="dxa"/>
            <w:vAlign w:val="center"/>
          </w:tcPr>
          <w:p>
            <w:r>
              <w:t>0.16</w:t>
            </w:r>
          </w:p>
        </w:tc>
        <w:tc>
          <w:tcPr>
            <w:tcW w:w="967" w:type="dxa"/>
            <w:vAlign w:val="center"/>
          </w:tcPr>
          <w:p/>
        </w:tc>
        <w:tc>
          <w:tcPr>
            <w:tcW w:w="718" w:type="dxa"/>
            <w:vAlign w:val="center"/>
          </w:tcPr>
          <w:p>
            <w:r>
              <w:t>1.00</w:t>
            </w:r>
          </w:p>
        </w:tc>
        <w:tc>
          <w:tcPr>
            <w:tcW w:w="718" w:type="dxa"/>
            <w:vAlign w:val="center"/>
          </w:tcPr>
          <w:p>
            <w:r>
              <w:t>0.16</w:t>
            </w:r>
          </w:p>
        </w:tc>
        <w:tc>
          <w:tcPr>
            <w:tcW w:w="718" w:type="dxa"/>
            <w:vAlign w:val="center"/>
          </w:tcPr>
          <w:p>
            <w:r>
              <w:t>1.00</w:t>
            </w:r>
          </w:p>
        </w:tc>
        <w:tc>
          <w:tcPr>
            <w:tcW w:w="899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49" w:type="dxa"/>
            <w:gridSpan w:val="9"/>
            <w:vAlign w:val="center"/>
          </w:tcPr>
          <w:p>
            <w:r>
              <w:t>《四川省居住建筑节能65%设计导则》第4.1.2条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49" w:type="dxa"/>
            <w:gridSpan w:val="9"/>
            <w:vAlign w:val="center"/>
          </w:tcPr>
          <w:p>
            <w:r>
              <w:t>不同朝向外窗其遮阳系数应符合表4.1.2的规定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49" w:type="dxa"/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注：达标时只列出一个房间，不达标时列出全部不达标房间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9" w:name="_Toc153838096"/>
      <w:r>
        <w:rPr>
          <w:color w:val="000000"/>
          <w:kern w:val="2"/>
          <w:szCs w:val="24"/>
        </w:rPr>
        <w:t>规定性指标检查结论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可开启面积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传热系数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太阳得热系数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说明：本工程各项设计指标指标</w:t>
      </w:r>
      <w:r>
        <w:rPr>
          <w:b/>
          <w:color w:val="000000"/>
        </w:rPr>
        <w:t>满足</w:t>
      </w:r>
      <w:r>
        <w:rPr>
          <w:color w:val="000000"/>
        </w:rPr>
        <w:t>《四川省居住建筑节能65%设计导则》规定性指标的要求。节能符合要求。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4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228F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67CD7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1043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16975BD"/>
    <w:rsid w:val="4EC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3431;&#33322;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7</Pages>
  <Words>785</Words>
  <Characters>4475</Characters>
  <Lines>37</Lines>
  <Paragraphs>10</Paragraphs>
  <TotalTime>40</TotalTime>
  <ScaleCrop>false</ScaleCrop>
  <LinksUpToDate>false</LinksUpToDate>
  <CharactersWithSpaces>5250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2023-12-18T16:27:00Z</dcterms:created>
  <dc:creator>王宇航</dc:creator>
  <cp:lastModifiedBy>春泥</cp:lastModifiedBy>
  <cp:lastPrinted>2411-12-31T16:00:00Z</cp:lastPrinted>
  <dcterms:modified xsi:type="dcterms:W3CDTF">2023-12-19T13:04:55Z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52DF7BD8BEA34E769A63FF4A436B8183_13</vt:lpwstr>
  </property>
</Properties>
</file>