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Start w:id="162" w:name="_GoBack"/>
      <w:bookmarkEnd w:id="162"/>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Cs w:val="21"/>
              </w:rPr>
              <w:t>手可摘星辰  ——基于暗夜星空保护的观星空间绿色更新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广东-广州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2023年12月20日</w:t>
            </w:r>
            <w:bookmarkEnd w:id="5"/>
          </w:p>
        </w:tc>
      </w:tr>
    </w:tbl>
    <w:p>
      <w:pPr>
        <w:rPr>
          <w:rFonts w:ascii="宋体" w:hAnsi="宋体"/>
          <w:lang w:val="en-US"/>
        </w:rPr>
      </w:pPr>
    </w:p>
    <w:p>
      <w:pPr>
        <w:jc w:val="center"/>
        <w:rPr>
          <w:rFonts w:ascii="宋体" w:hAnsi="宋体"/>
          <w:b/>
          <w:bCs/>
          <w:sz w:val="30"/>
          <w:szCs w:val="32"/>
        </w:rPr>
      </w:pPr>
      <w:bookmarkStart w:id="6" w:name="二维码"/>
      <w:bookmarkEnd w:id="6"/>
      <w:r>
        <w:drawing>
          <wp:inline distT="0" distB="0" distL="0" distR="0">
            <wp:extent cx="1514475" cy="1514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能耗计算BESI2023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T19924687103</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_Toc10354 </w:instrText>
      </w:r>
      <w:r>
        <w:rPr>
          <w:rFonts w:ascii="宋体" w:hAnsi="宋体"/>
          <w:bCs w:val="0"/>
          <w:caps/>
        </w:rPr>
        <w:fldChar w:fldCharType="separate"/>
      </w:r>
      <w:r>
        <w:rPr>
          <w:rFonts w:hint="eastAsia"/>
        </w:rPr>
        <w:t>1 建筑概况</w:t>
      </w:r>
      <w:r>
        <w:tab/>
      </w:r>
      <w:r>
        <w:fldChar w:fldCharType="begin"/>
      </w:r>
      <w:r>
        <w:instrText xml:space="preserve"> PAGEREF _Toc10354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_Toc26019 </w:instrText>
      </w:r>
      <w:r>
        <w:fldChar w:fldCharType="separate"/>
      </w:r>
      <w:r>
        <w:rPr>
          <w:rFonts w:hint="eastAsia"/>
        </w:rPr>
        <w:t>2 计算依据</w:t>
      </w:r>
      <w:r>
        <w:tab/>
      </w:r>
      <w:r>
        <w:fldChar w:fldCharType="begin"/>
      </w:r>
      <w:r>
        <w:instrText xml:space="preserve"> PAGEREF _Toc26019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_Toc23233 </w:instrText>
      </w:r>
      <w:r>
        <w:fldChar w:fldCharType="separate"/>
      </w:r>
      <w:r>
        <w:rPr>
          <w:rFonts w:hint="eastAsia"/>
        </w:rPr>
        <w:t>3 计算要求</w:t>
      </w:r>
      <w:r>
        <w:tab/>
      </w:r>
      <w:r>
        <w:fldChar w:fldCharType="begin"/>
      </w:r>
      <w:r>
        <w:instrText xml:space="preserve"> PAGEREF _Toc23233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_Toc31045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_Toc31045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_Toc22604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_Toc22604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_Toc12018 </w:instrText>
      </w:r>
      <w:r>
        <w:fldChar w:fldCharType="separate"/>
      </w:r>
      <w:r>
        <w:rPr>
          <w:rFonts w:hint="eastAsia"/>
        </w:rPr>
        <w:t>4 软件介绍</w:t>
      </w:r>
      <w:r>
        <w:tab/>
      </w:r>
      <w:r>
        <w:fldChar w:fldCharType="begin"/>
      </w:r>
      <w:r>
        <w:instrText xml:space="preserve"> PAGEREF _Toc12018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_Toc9602 </w:instrText>
      </w:r>
      <w:r>
        <w:fldChar w:fldCharType="separate"/>
      </w:r>
      <w:r>
        <w:rPr>
          <w:rFonts w:hint="eastAsia"/>
        </w:rPr>
        <w:t>5 气象数据</w:t>
      </w:r>
      <w:r>
        <w:tab/>
      </w:r>
      <w:r>
        <w:fldChar w:fldCharType="begin"/>
      </w:r>
      <w:r>
        <w:instrText xml:space="preserve"> PAGEREF _Toc9602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_Toc4410 </w:instrText>
      </w:r>
      <w:r>
        <w:fldChar w:fldCharType="separate"/>
      </w:r>
      <w:r>
        <w:rPr>
          <w:rFonts w:hint="eastAsia"/>
          <w:lang w:val="en-GB"/>
        </w:rPr>
        <w:t xml:space="preserve">5.1 </w:t>
      </w:r>
      <w:r>
        <w:rPr>
          <w:rFonts w:hint="eastAsia"/>
        </w:rPr>
        <w:t>气象地点</w:t>
      </w:r>
      <w:r>
        <w:tab/>
      </w:r>
      <w:r>
        <w:fldChar w:fldCharType="begin"/>
      </w:r>
      <w:r>
        <w:instrText xml:space="preserve"> PAGEREF _Toc4410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_Toc25357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_Toc25357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_Toc25875 </w:instrText>
      </w:r>
      <w:r>
        <w:fldChar w:fldCharType="separate"/>
      </w:r>
      <w:r>
        <w:rPr>
          <w:rFonts w:hint="eastAsia"/>
          <w:lang w:val="en-GB"/>
        </w:rPr>
        <w:t xml:space="preserve">5.3 </w:t>
      </w:r>
      <w:r>
        <w:rPr>
          <w:rFonts w:hint="eastAsia"/>
        </w:rPr>
        <w:t>逐月辐照量表</w:t>
      </w:r>
      <w:r>
        <w:tab/>
      </w:r>
      <w:r>
        <w:fldChar w:fldCharType="begin"/>
      </w:r>
      <w:r>
        <w:instrText xml:space="preserve"> PAGEREF _Toc25875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_Toc5426 </w:instrText>
      </w:r>
      <w:r>
        <w:fldChar w:fldCharType="separate"/>
      </w:r>
      <w:r>
        <w:rPr>
          <w:rFonts w:hint="eastAsia"/>
          <w:lang w:val="en-GB"/>
        </w:rPr>
        <w:t xml:space="preserve">5.4 </w:t>
      </w:r>
      <w:r>
        <w:rPr>
          <w:rFonts w:hint="eastAsia"/>
        </w:rPr>
        <w:t>峰值工况</w:t>
      </w:r>
      <w:r>
        <w:tab/>
      </w:r>
      <w:r>
        <w:fldChar w:fldCharType="begin"/>
      </w:r>
      <w:r>
        <w:instrText xml:space="preserve"> PAGEREF _Toc5426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_Toc19502 </w:instrText>
      </w:r>
      <w:r>
        <w:fldChar w:fldCharType="separate"/>
      </w:r>
      <w:r>
        <w:rPr>
          <w:rFonts w:hint="eastAsia"/>
        </w:rPr>
        <w:t xml:space="preserve">6 </w:t>
      </w:r>
      <w:r>
        <w:t>建筑大样</w:t>
      </w:r>
      <w:r>
        <w:tab/>
      </w:r>
      <w:r>
        <w:fldChar w:fldCharType="begin"/>
      </w:r>
      <w:r>
        <w:instrText xml:space="preserve"> PAGEREF _Toc19502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_Toc21338 </w:instrText>
      </w:r>
      <w:r>
        <w:fldChar w:fldCharType="separate"/>
      </w:r>
      <w:r>
        <w:rPr>
          <w:rFonts w:hint="eastAsia"/>
        </w:rPr>
        <w:t xml:space="preserve">7 </w:t>
      </w:r>
      <w:r>
        <w:t>围护结构</w:t>
      </w:r>
      <w:r>
        <w:tab/>
      </w:r>
      <w:r>
        <w:fldChar w:fldCharType="begin"/>
      </w:r>
      <w:r>
        <w:instrText xml:space="preserve"> PAGEREF _Toc21338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_Toc29416 </w:instrText>
      </w:r>
      <w:r>
        <w:fldChar w:fldCharType="separate"/>
      </w:r>
      <w:r>
        <w:rPr>
          <w:rFonts w:hint="eastAsia"/>
          <w:lang w:val="en-GB"/>
        </w:rPr>
        <w:t xml:space="preserve">7.1 </w:t>
      </w:r>
      <w:r>
        <w:t>工程材料</w:t>
      </w:r>
      <w:r>
        <w:tab/>
      </w:r>
      <w:r>
        <w:fldChar w:fldCharType="begin"/>
      </w:r>
      <w:r>
        <w:instrText xml:space="preserve"> PAGEREF _Toc29416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_Toc2236 </w:instrText>
      </w:r>
      <w:r>
        <w:fldChar w:fldCharType="separate"/>
      </w:r>
      <w:r>
        <w:rPr>
          <w:rFonts w:hint="eastAsia"/>
        </w:rPr>
        <w:t xml:space="preserve">8 </w:t>
      </w:r>
      <w:r>
        <w:t>房间类型</w:t>
      </w:r>
      <w:r>
        <w:tab/>
      </w:r>
      <w:r>
        <w:fldChar w:fldCharType="begin"/>
      </w:r>
      <w:r>
        <w:instrText xml:space="preserve"> PAGEREF _Toc2236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_Toc28347 </w:instrText>
      </w:r>
      <w:r>
        <w:fldChar w:fldCharType="separate"/>
      </w:r>
      <w:r>
        <w:rPr>
          <w:rFonts w:hint="eastAsia"/>
          <w:lang w:val="en-GB"/>
        </w:rPr>
        <w:t xml:space="preserve">8.1 </w:t>
      </w:r>
      <w:r>
        <w:t>房间表</w:t>
      </w:r>
      <w:r>
        <w:tab/>
      </w:r>
      <w:r>
        <w:fldChar w:fldCharType="begin"/>
      </w:r>
      <w:r>
        <w:instrText xml:space="preserve"> PAGEREF _Toc28347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_Toc30589 </w:instrText>
      </w:r>
      <w:r>
        <w:fldChar w:fldCharType="separate"/>
      </w:r>
      <w:r>
        <w:rPr>
          <w:rFonts w:hint="eastAsia"/>
          <w:lang w:val="en-GB"/>
        </w:rPr>
        <w:t xml:space="preserve">8.2 </w:t>
      </w:r>
      <w:r>
        <w:t>作息时间表</w:t>
      </w:r>
      <w:r>
        <w:tab/>
      </w:r>
      <w:r>
        <w:fldChar w:fldCharType="begin"/>
      </w:r>
      <w:r>
        <w:instrText xml:space="preserve"> PAGEREF _Toc30589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_Toc22887 </w:instrText>
      </w:r>
      <w:r>
        <w:fldChar w:fldCharType="separate"/>
      </w:r>
      <w:r>
        <w:rPr>
          <w:rFonts w:hint="eastAsia"/>
        </w:rPr>
        <w:t xml:space="preserve">9 </w:t>
      </w:r>
      <w:r>
        <w:t>设计建筑</w:t>
      </w:r>
      <w:r>
        <w:tab/>
      </w:r>
      <w:r>
        <w:fldChar w:fldCharType="begin"/>
      </w:r>
      <w:r>
        <w:instrText xml:space="preserve"> PAGEREF _Toc22887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_Toc31179 </w:instrText>
      </w:r>
      <w:r>
        <w:fldChar w:fldCharType="separate"/>
      </w:r>
      <w:r>
        <w:rPr>
          <w:rFonts w:hint="eastAsia"/>
          <w:lang w:val="en-GB"/>
        </w:rPr>
        <w:t xml:space="preserve">9.1 </w:t>
      </w:r>
      <w:r>
        <w:t>负荷分项统计</w:t>
      </w:r>
      <w:r>
        <w:tab/>
      </w:r>
      <w:r>
        <w:fldChar w:fldCharType="begin"/>
      </w:r>
      <w:r>
        <w:instrText xml:space="preserve"> PAGEREF _Toc31179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_Toc22053 </w:instrText>
      </w:r>
      <w:r>
        <w:fldChar w:fldCharType="separate"/>
      </w:r>
      <w:r>
        <w:rPr>
          <w:rFonts w:hint="eastAsia"/>
        </w:rPr>
        <w:t xml:space="preserve">10 </w:t>
      </w:r>
      <w:r>
        <w:t>参照建筑</w:t>
      </w:r>
      <w:r>
        <w:tab/>
      </w:r>
      <w:r>
        <w:fldChar w:fldCharType="begin"/>
      </w:r>
      <w:r>
        <w:instrText xml:space="preserve"> PAGEREF _Toc22053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_Toc6325 </w:instrText>
      </w:r>
      <w:r>
        <w:fldChar w:fldCharType="separate"/>
      </w:r>
      <w:r>
        <w:rPr>
          <w:rFonts w:hint="eastAsia"/>
          <w:lang w:val="en-GB"/>
        </w:rPr>
        <w:t xml:space="preserve">10.1 </w:t>
      </w:r>
      <w:r>
        <w:t>负荷分项统计</w:t>
      </w:r>
      <w:r>
        <w:tab/>
      </w:r>
      <w:r>
        <w:fldChar w:fldCharType="begin"/>
      </w:r>
      <w:r>
        <w:instrText xml:space="preserve"> PAGEREF _Toc6325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_Toc22941 </w:instrText>
      </w:r>
      <w:r>
        <w:fldChar w:fldCharType="separate"/>
      </w:r>
      <w:r>
        <w:rPr>
          <w:rFonts w:hint="eastAsia"/>
        </w:rPr>
        <w:t xml:space="preserve">11 </w:t>
      </w:r>
      <w:r>
        <w:t>计算结果</w:t>
      </w:r>
      <w:r>
        <w:tab/>
      </w:r>
      <w:r>
        <w:fldChar w:fldCharType="begin"/>
      </w:r>
      <w:r>
        <w:instrText xml:space="preserve"> PAGEREF _Toc22941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_Toc3786 </w:instrText>
      </w:r>
      <w:r>
        <w:fldChar w:fldCharType="separate"/>
      </w:r>
      <w:r>
        <w:rPr>
          <w:rFonts w:hint="eastAsia"/>
          <w:lang w:val="en-GB"/>
        </w:rPr>
        <w:t xml:space="preserve">11.1 </w:t>
      </w:r>
      <w:r>
        <w:t>围护结构热工性能对比</w:t>
      </w:r>
      <w:r>
        <w:tab/>
      </w:r>
      <w:r>
        <w:fldChar w:fldCharType="begin"/>
      </w:r>
      <w:r>
        <w:instrText xml:space="preserve"> PAGEREF _Toc3786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_Toc4738 </w:instrText>
      </w:r>
      <w:r>
        <w:fldChar w:fldCharType="separate"/>
      </w:r>
      <w:r>
        <w:rPr>
          <w:rFonts w:hint="eastAsia"/>
          <w:lang w:val="en-GB"/>
        </w:rPr>
        <w:t xml:space="preserve">11.2 </w:t>
      </w:r>
      <w:r>
        <w:t>围护结构节能率</w:t>
      </w:r>
      <w:r>
        <w:tab/>
      </w:r>
      <w:r>
        <w:fldChar w:fldCharType="begin"/>
      </w:r>
      <w:r>
        <w:instrText xml:space="preserve"> PAGEREF _Toc4738 \h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_Toc15568 </w:instrText>
      </w:r>
      <w:r>
        <w:fldChar w:fldCharType="separate"/>
      </w:r>
      <w:r>
        <w:rPr>
          <w:rFonts w:hint="eastAsia"/>
        </w:rPr>
        <w:t xml:space="preserve">12 </w:t>
      </w:r>
      <w:r>
        <w:t>绿色建筑性能评估得分</w:t>
      </w:r>
      <w:r>
        <w:tab/>
      </w:r>
      <w:r>
        <w:fldChar w:fldCharType="begin"/>
      </w:r>
      <w:r>
        <w:instrText xml:space="preserve"> PAGEREF _Toc15568 \h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_Toc32755 </w:instrText>
      </w:r>
      <w:r>
        <w:fldChar w:fldCharType="separate"/>
      </w:r>
      <w:r>
        <w:rPr>
          <w:rFonts w:hint="eastAsia"/>
        </w:rPr>
        <w:t xml:space="preserve">13 </w:t>
      </w:r>
      <w:r>
        <w:t>附录</w:t>
      </w:r>
      <w:r>
        <w:tab/>
      </w:r>
      <w:r>
        <w:fldChar w:fldCharType="begin"/>
      </w:r>
      <w:r>
        <w:instrText xml:space="preserve"> PAGEREF _Toc32755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_Toc2319 </w:instrText>
      </w:r>
      <w:r>
        <w:fldChar w:fldCharType="separate"/>
      </w:r>
      <w:r>
        <w:rPr>
          <w:rFonts w:hint="eastAsia"/>
          <w:lang w:val="en-GB"/>
        </w:rPr>
        <w:t xml:space="preserve">13.1 </w:t>
      </w:r>
      <w:r>
        <w:t>工作日/节假日人员逐时在室率(%)</w:t>
      </w:r>
      <w:r>
        <w:tab/>
      </w:r>
      <w:r>
        <w:fldChar w:fldCharType="begin"/>
      </w:r>
      <w:r>
        <w:instrText xml:space="preserve"> PAGEREF _Toc2319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_Toc27678 </w:instrText>
      </w:r>
      <w:r>
        <w:fldChar w:fldCharType="separate"/>
      </w:r>
      <w:r>
        <w:rPr>
          <w:rFonts w:hint="eastAsia"/>
          <w:lang w:val="en-GB"/>
        </w:rPr>
        <w:t xml:space="preserve">13.2 </w:t>
      </w:r>
      <w:r>
        <w:t>工作日/节假日照明开关时间表(%)</w:t>
      </w:r>
      <w:r>
        <w:tab/>
      </w:r>
      <w:r>
        <w:fldChar w:fldCharType="begin"/>
      </w:r>
      <w:r>
        <w:instrText xml:space="preserve"> PAGEREF _Toc27678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_Toc9724 </w:instrText>
      </w:r>
      <w:r>
        <w:fldChar w:fldCharType="separate"/>
      </w:r>
      <w:r>
        <w:rPr>
          <w:rFonts w:hint="eastAsia"/>
          <w:lang w:val="en-GB"/>
        </w:rPr>
        <w:t xml:space="preserve">13.3 </w:t>
      </w:r>
      <w:r>
        <w:t>工作日/节假日设备逐时使用率(%)</w:t>
      </w:r>
      <w:r>
        <w:tab/>
      </w:r>
      <w:r>
        <w:fldChar w:fldCharType="begin"/>
      </w:r>
      <w:r>
        <w:instrText xml:space="preserve"> PAGEREF _Toc9724 \h </w:instrText>
      </w:r>
      <w:r>
        <w:fldChar w:fldCharType="separate"/>
      </w:r>
      <w:r>
        <w:t>14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0354"/>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2" w:name="工程地点"/>
            <w:r>
              <w:t>广东-广州</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3" w:name="纬度"/>
            <w:r>
              <w:rPr>
                <w:rFonts w:hint="eastAsia" w:ascii="宋体" w:hAnsi="宋体"/>
                <w:lang w:val="en-US"/>
              </w:rPr>
              <w:t>23.08</w:t>
            </w:r>
            <w:bookmarkEnd w:id="13"/>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4" w:name="经度"/>
            <w:r>
              <w:rPr>
                <w:rFonts w:hint="eastAsia" w:ascii="宋体" w:hAnsi="宋体"/>
                <w:lang w:val="en-US"/>
              </w:rPr>
              <w:t>113.14</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431</w:t>
            </w:r>
            <w:bookmarkEnd w:id="15"/>
            <w:r>
              <w:rPr>
                <w:rFonts w:hint="eastAsia" w:ascii="宋体" w:hAnsi="宋体"/>
                <w:lang w:val="en-US"/>
              </w:rPr>
              <w:t xml:space="preserve">    地下</w:t>
            </w:r>
            <w:bookmarkStart w:id="16" w:name="地下建筑面积"/>
            <w:r>
              <w:rPr>
                <w:rFonts w:hint="eastAsia" w:ascii="宋体" w:hAnsi="宋体"/>
                <w:lang w:val="en-US"/>
              </w:rP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6</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高度"/>
            <w:r>
              <w:rPr>
                <w:rFonts w:hint="eastAsia" w:ascii="宋体" w:hAnsi="宋体"/>
                <w:lang w:val="en-US"/>
              </w:rPr>
              <w:t>38.4</w:t>
            </w:r>
            <w:bookmarkEnd w:id="19"/>
            <w:r>
              <w:rPr>
                <w:rFonts w:hint="eastAsia" w:ascii="宋体" w:hAnsi="宋体"/>
                <w:lang w:val="en-US"/>
              </w:rPr>
              <w:t xml:space="preserve">     地下</w:t>
            </w:r>
            <w:bookmarkStart w:id="20" w:name="地下建筑高度"/>
            <w:r>
              <w:rPr>
                <w:rFonts w:hint="eastAsia" w:ascii="宋体" w:hAnsi="宋体"/>
                <w:lang w:val="en-US"/>
              </w:rPr>
              <w:t>0.0</w:t>
            </w:r>
            <w:bookmarkEnd w:id="20"/>
          </w:p>
        </w:tc>
      </w:tr>
      <w:tr>
        <w:tblPrEx>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1" w:name="建筑体积"/>
            <w:r>
              <w:t>1481.22</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外表面积"/>
            <w:r>
              <w:t>1656.81</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3" w:name="北向角度"/>
            <w:r>
              <w:t>101.6</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4" w:name="结构类型"/>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5" w:name="外墙ρ"/>
            <w:r>
              <w:rPr>
                <w:rFonts w:hint="eastAsia"/>
              </w:rPr>
              <w:t>0.75</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6" w:name="屋顶ρ"/>
            <w:r>
              <w:rPr>
                <w:rFonts w:hint="eastAsia"/>
              </w:rPr>
              <w:t>0.75</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7" w:name="控温期"/>
            <w:r>
              <w:t>全年控温</w:t>
            </w:r>
            <w:bookmarkEnd w:id="27"/>
          </w:p>
        </w:tc>
      </w:tr>
    </w:tbl>
    <w:p>
      <w:pPr>
        <w:pStyle w:val="3"/>
        <w:ind w:firstLine="0" w:firstLineChars="0"/>
        <w:rPr>
          <w:lang w:val="en-US"/>
        </w:rPr>
      </w:pPr>
      <w:bookmarkStart w:id="28" w:name="TitleFormat"/>
    </w:p>
    <w:p>
      <w:pPr>
        <w:pStyle w:val="3"/>
        <w:ind w:firstLine="0" w:firstLineChars="0"/>
        <w:rPr>
          <w:lang w:val="en-US"/>
        </w:rPr>
      </w:pPr>
    </w:p>
    <w:p>
      <w:pPr>
        <w:pStyle w:val="2"/>
      </w:pPr>
      <w:bookmarkStart w:id="29" w:name="_Toc26019"/>
      <w:r>
        <w:rPr>
          <w:rFonts w:hint="eastAsia"/>
        </w:rPr>
        <w:t>计算依据</w:t>
      </w:r>
      <w:bookmarkEnd w:id="29"/>
    </w:p>
    <w:bookmarkEnd w:id="28"/>
    <w:p>
      <w:pPr>
        <w:widowControl w:val="0"/>
        <w:jc w:val="both"/>
        <w:rPr>
          <w:kern w:val="2"/>
          <w:szCs w:val="24"/>
          <w:lang w:val="en-US"/>
        </w:rPr>
      </w:pPr>
      <w:bookmarkStart w:id="30" w:name="计算依据"/>
      <w:bookmarkEnd w:id="30"/>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《公共建筑节能设计标准广东省实施细则》(DBJ15-51-2007)</w:t>
      </w:r>
    </w:p>
    <w:p>
      <w:pPr>
        <w:widowControl w:val="0"/>
        <w:jc w:val="both"/>
        <w:rPr>
          <w:kern w:val="2"/>
          <w:szCs w:val="24"/>
          <w:lang w:val="en-US"/>
        </w:rPr>
      </w:pPr>
      <w:r>
        <w:rPr>
          <w:kern w:val="2"/>
          <w:szCs w:val="24"/>
          <w:lang w:val="en-US"/>
        </w:rPr>
        <w:t>4. 《民用建筑热工设计规范》(GB50176-93)</w:t>
      </w:r>
    </w:p>
    <w:p>
      <w:pPr>
        <w:widowControl w:val="0"/>
        <w:jc w:val="both"/>
        <w:rPr>
          <w:kern w:val="2"/>
          <w:szCs w:val="24"/>
          <w:lang w:val="en-US"/>
        </w:rPr>
      </w:pPr>
      <w:r>
        <w:rPr>
          <w:kern w:val="2"/>
          <w:szCs w:val="24"/>
          <w:lang w:val="en-US"/>
        </w:rPr>
        <w:t>5. 《建筑外门窗气密，水密，抗风压性能分级及检测方法》（GB/T 7106-2008）</w:t>
      </w:r>
    </w:p>
    <w:p>
      <w:pPr>
        <w:widowControl w:val="0"/>
        <w:jc w:val="both"/>
        <w:rPr>
          <w:kern w:val="2"/>
          <w:szCs w:val="24"/>
          <w:lang w:val="en-US"/>
        </w:rPr>
      </w:pPr>
      <w:r>
        <w:rPr>
          <w:kern w:val="2"/>
          <w:szCs w:val="24"/>
          <w:lang w:val="en-US"/>
        </w:rPr>
        <w:t>6. 《建筑幕墙》（GB/T 21086-2007）</w:t>
      </w:r>
    </w:p>
    <w:p>
      <w:pPr>
        <w:widowControl w:val="0"/>
        <w:jc w:val="both"/>
        <w:rPr>
          <w:kern w:val="2"/>
          <w:szCs w:val="24"/>
          <w:lang w:val="en-US"/>
        </w:rPr>
      </w:pPr>
    </w:p>
    <w:p>
      <w:pPr>
        <w:pStyle w:val="2"/>
      </w:pPr>
      <w:bookmarkStart w:id="31" w:name="_Toc13616"/>
      <w:bookmarkStart w:id="32" w:name="_Toc23233"/>
      <w:r>
        <w:rPr>
          <w:rFonts w:hint="eastAsia"/>
        </w:rPr>
        <w:t>计算要求</w:t>
      </w:r>
      <w:bookmarkEnd w:id="31"/>
      <w:bookmarkEnd w:id="32"/>
    </w:p>
    <w:p>
      <w:pPr>
        <w:pStyle w:val="4"/>
        <w:tabs>
          <w:tab w:val="clear" w:pos="578"/>
        </w:tabs>
        <w:rPr>
          <w:kern w:val="2"/>
          <w:sz w:val="21"/>
        </w:rPr>
      </w:pPr>
      <w:bookmarkStart w:id="33" w:name="_Toc22090"/>
      <w:bookmarkStart w:id="34" w:name="_Toc31045"/>
      <w:r>
        <w:rPr>
          <w:rFonts w:hint="eastAsia"/>
          <w:kern w:val="2"/>
          <w:sz w:val="21"/>
        </w:rPr>
        <w:t>计算目标</w:t>
      </w:r>
      <w:bookmarkEnd w:id="33"/>
      <w:bookmarkEnd w:id="34"/>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5" w:name="_Toc5419"/>
      <w:bookmarkStart w:id="36" w:name="_Toc22604"/>
      <w:r>
        <w:rPr>
          <w:rFonts w:hint="eastAsia"/>
          <w:kern w:val="2"/>
          <w:sz w:val="21"/>
        </w:rPr>
        <w:t>计算方法</w:t>
      </w:r>
      <w:bookmarkEnd w:id="35"/>
      <w:bookmarkEnd w:id="36"/>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7" w:name="_Toc444763006"/>
    </w:p>
    <w:p>
      <w:pPr>
        <w:pStyle w:val="2"/>
      </w:pPr>
      <w:bookmarkStart w:id="38" w:name="_Toc59787735"/>
      <w:bookmarkStart w:id="39" w:name="_Toc12018"/>
      <w:bookmarkStart w:id="40" w:name="_Toc58336110"/>
      <w:r>
        <w:rPr>
          <w:rFonts w:hint="eastAsia"/>
        </w:rPr>
        <w:t>软件介绍</w:t>
      </w:r>
      <w:bookmarkEnd w:id="38"/>
      <w:bookmarkEnd w:id="39"/>
      <w:bookmarkEnd w:id="40"/>
    </w:p>
    <w:p>
      <w:pPr>
        <w:pStyle w:val="3"/>
        <w:ind w:firstLine="420"/>
        <w:rPr>
          <w:lang w:val="en-US"/>
        </w:rPr>
      </w:pPr>
      <w:r>
        <w:rPr>
          <w:rFonts w:hint="eastAsia"/>
          <w:lang w:val="en-US"/>
        </w:rPr>
        <w:t>本</w:t>
      </w:r>
      <w:r>
        <w:rPr>
          <w:lang w:val="en-US"/>
        </w:rPr>
        <w:t>报告</w:t>
      </w:r>
      <w:r>
        <w:rPr>
          <w:rFonts w:hint="eastAsia"/>
          <w:lang w:val="en-US"/>
        </w:rPr>
        <w:t>内容由</w:t>
      </w:r>
      <w:bookmarkStart w:id="41" w:name="软件全称＃2"/>
      <w:r>
        <w:rPr>
          <w:rFonts w:hint="eastAsia"/>
          <w:lang w:val="en-US"/>
        </w:rPr>
        <w:t>能耗计算BESI2023</w:t>
      </w:r>
      <w:bookmarkEnd w:id="41"/>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7"/>
    <w:p>
      <w:pPr>
        <w:pStyle w:val="2"/>
      </w:pPr>
      <w:bookmarkStart w:id="42" w:name="_Toc9602"/>
      <w:r>
        <w:rPr>
          <w:rFonts w:hint="eastAsia"/>
        </w:rPr>
        <w:t>气象数据</w:t>
      </w:r>
      <w:bookmarkEnd w:id="42"/>
    </w:p>
    <w:p>
      <w:pPr>
        <w:pStyle w:val="4"/>
      </w:pPr>
      <w:bookmarkStart w:id="43" w:name="_Toc4410"/>
      <w:r>
        <w:rPr>
          <w:rFonts w:hint="eastAsia"/>
        </w:rPr>
        <w:t>气象地点</w:t>
      </w:r>
      <w:bookmarkEnd w:id="43"/>
    </w:p>
    <w:p>
      <w:pPr>
        <w:pStyle w:val="3"/>
        <w:ind w:firstLine="420"/>
        <w:rPr>
          <w:lang w:val="en-US"/>
        </w:rPr>
      </w:pPr>
      <w:bookmarkStart w:id="44" w:name="气象数据来源"/>
      <w:r>
        <w:t>广东-广州, 《中国建筑热环境分析专用气象数据集》</w:t>
      </w:r>
      <w:bookmarkEnd w:id="44"/>
    </w:p>
    <w:p>
      <w:pPr>
        <w:pStyle w:val="4"/>
      </w:pPr>
      <w:bookmarkStart w:id="45" w:name="_Toc25357"/>
      <w:r>
        <w:rPr>
          <w:rFonts w:hint="eastAsia"/>
        </w:rPr>
        <w:t>逐日干球温度表</w:t>
      </w:r>
      <w:bookmarkEnd w:id="45"/>
    </w:p>
    <w:p>
      <w:pPr>
        <w:pStyle w:val="3"/>
        <w:ind w:firstLine="0" w:firstLineChars="0"/>
        <w:rPr>
          <w:lang w:val="en-US"/>
        </w:rPr>
      </w:pPr>
      <w:bookmarkStart w:id="46" w:name="日均干球温度变化表"/>
      <w:bookmarkEnd w:id="46"/>
    </w:p>
    <w:p>
      <w:pPr>
        <w:pStyle w:val="4"/>
      </w:pPr>
      <w:bookmarkStart w:id="47" w:name="_Toc25875"/>
      <w:r>
        <w:rPr>
          <w:rFonts w:hint="eastAsia"/>
        </w:rPr>
        <w:t>逐月辐照量表</w:t>
      </w:r>
      <w:bookmarkEnd w:id="47"/>
    </w:p>
    <w:p>
      <w:pPr>
        <w:pStyle w:val="3"/>
        <w:ind w:firstLine="0" w:firstLineChars="0"/>
        <w:rPr>
          <w:lang w:val="en-US"/>
        </w:rPr>
      </w:pPr>
      <w:bookmarkStart w:id="48" w:name="逐月辐照量图表"/>
      <w:bookmarkEnd w:id="48"/>
    </w:p>
    <w:p>
      <w:pPr>
        <w:pStyle w:val="4"/>
      </w:pPr>
      <w:bookmarkStart w:id="49" w:name="_Toc5426"/>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08月30日14时</w:t>
            </w:r>
          </w:p>
        </w:tc>
        <w:tc>
          <w:tcPr>
            <w:vAlign w:val="center"/>
          </w:tcPr>
          <w:p>
            <w:r>
              <w:t>36.7</w:t>
            </w:r>
          </w:p>
        </w:tc>
        <w:tc>
          <w:tcPr>
            <w:vAlign w:val="center"/>
          </w:tcPr>
          <w:p>
            <w:r>
              <w:t>28.3</w:t>
            </w:r>
          </w:p>
        </w:tc>
        <w:tc>
          <w:tcPr>
            <w:vAlign w:val="center"/>
          </w:tcPr>
          <w:p>
            <w:r>
              <w:t>21.5</w:t>
            </w:r>
          </w:p>
        </w:tc>
        <w:tc>
          <w:tcPr>
            <w:vAlign w:val="center"/>
          </w:tcPr>
          <w:p>
            <w:r>
              <w:t>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02月01日03时</w:t>
            </w:r>
          </w:p>
        </w:tc>
        <w:tc>
          <w:tcPr>
            <w:vAlign w:val="center"/>
          </w:tcPr>
          <w:p>
            <w:r>
              <w:t>4.4</w:t>
            </w:r>
          </w:p>
        </w:tc>
        <w:tc>
          <w:tcPr>
            <w:vAlign w:val="center"/>
          </w:tcPr>
          <w:p>
            <w:r>
              <w:t>4.4</w:t>
            </w:r>
          </w:p>
        </w:tc>
        <w:tc>
          <w:tcPr>
            <w:vAlign w:val="center"/>
          </w:tcPr>
          <w:p>
            <w:r>
              <w:t>5.0</w:t>
            </w:r>
          </w:p>
        </w:tc>
        <w:tc>
          <w:tcPr>
            <w:vAlign w:val="center"/>
          </w:tcPr>
          <w:p>
            <w:r>
              <w:t>17.0</w:t>
            </w:r>
          </w:p>
        </w:tc>
      </w:tr>
    </w:tbl>
    <w:p>
      <w:pPr>
        <w:pStyle w:val="2"/>
        <w:widowControl w:val="0"/>
        <w:jc w:val="both"/>
      </w:pPr>
      <w:bookmarkStart w:id="50" w:name="气象峰值工况"/>
      <w:bookmarkEnd w:id="50"/>
      <w:bookmarkStart w:id="51" w:name="_Toc19502"/>
      <w:r>
        <w:t>建筑大样</w:t>
      </w:r>
      <w:bookmarkEnd w:id="51"/>
    </w:p>
    <w:p>
      <w:pPr>
        <w:widowControl w:val="0"/>
        <w:jc w:val="center"/>
      </w:pPr>
      <w:r>
        <w:drawing>
          <wp:inline distT="0" distB="0" distL="0" distR="0">
            <wp:extent cx="5667375" cy="65055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6505575"/>
                    </a:xfrm>
                    <a:prstGeom prst="rect">
                      <a:avLst/>
                    </a:prstGeom>
                  </pic:spPr>
                </pic:pic>
              </a:graphicData>
            </a:graphic>
          </wp:inline>
        </w:drawing>
      </w:r>
    </w:p>
    <w:p>
      <w:pPr>
        <w:widowControl w:val="0"/>
        <w:jc w:val="center"/>
      </w:pPr>
      <w:r>
        <w:t>1层平面</w:t>
      </w:r>
    </w:p>
    <w:p>
      <w:pPr>
        <w:widowControl w:val="0"/>
        <w:jc w:val="center"/>
      </w:pPr>
      <w:r>
        <w:drawing>
          <wp:inline distT="0" distB="0" distL="0" distR="0">
            <wp:extent cx="5667375" cy="35147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3514725"/>
                    </a:xfrm>
                    <a:prstGeom prst="rect">
                      <a:avLst/>
                    </a:prstGeom>
                  </pic:spPr>
                </pic:pic>
              </a:graphicData>
            </a:graphic>
          </wp:inline>
        </w:drawing>
      </w:r>
    </w:p>
    <w:p>
      <w:pPr>
        <w:widowControl w:val="0"/>
        <w:jc w:val="center"/>
      </w:pPr>
      <w:r>
        <w:t>2层平面</w:t>
      </w:r>
    </w:p>
    <w:p>
      <w:pPr>
        <w:widowControl w:val="0"/>
        <w:jc w:val="center"/>
      </w:pPr>
      <w:r>
        <w:drawing>
          <wp:inline distT="0" distB="0" distL="0" distR="0">
            <wp:extent cx="5667375" cy="35147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3514725"/>
                    </a:xfrm>
                    <a:prstGeom prst="rect">
                      <a:avLst/>
                    </a:prstGeom>
                  </pic:spPr>
                </pic:pic>
              </a:graphicData>
            </a:graphic>
          </wp:inline>
        </w:drawing>
      </w:r>
    </w:p>
    <w:p>
      <w:pPr>
        <w:widowControl w:val="0"/>
        <w:jc w:val="center"/>
      </w:pPr>
      <w:r>
        <w:t>3层平面</w:t>
      </w:r>
    </w:p>
    <w:p>
      <w:pPr>
        <w:widowControl w:val="0"/>
        <w:jc w:val="center"/>
      </w:pPr>
      <w:r>
        <w:drawing>
          <wp:inline distT="0" distB="0" distL="0" distR="0">
            <wp:extent cx="5667375" cy="3143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3143250"/>
                    </a:xfrm>
                    <a:prstGeom prst="rect">
                      <a:avLst/>
                    </a:prstGeom>
                  </pic:spPr>
                </pic:pic>
              </a:graphicData>
            </a:graphic>
          </wp:inline>
        </w:drawing>
      </w:r>
    </w:p>
    <w:p>
      <w:pPr>
        <w:widowControl w:val="0"/>
        <w:jc w:val="center"/>
      </w:pPr>
      <w:r>
        <w:t>4层平面</w:t>
      </w:r>
    </w:p>
    <w:p>
      <w:pPr>
        <w:widowControl w:val="0"/>
        <w:jc w:val="center"/>
      </w:pPr>
      <w:r>
        <w:drawing>
          <wp:inline distT="0" distB="0" distL="0" distR="0">
            <wp:extent cx="5667375" cy="13049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1304925"/>
                    </a:xfrm>
                    <a:prstGeom prst="rect">
                      <a:avLst/>
                    </a:prstGeom>
                  </pic:spPr>
                </pic:pic>
              </a:graphicData>
            </a:graphic>
          </wp:inline>
        </w:drawing>
      </w:r>
    </w:p>
    <w:p>
      <w:pPr>
        <w:widowControl w:val="0"/>
        <w:jc w:val="center"/>
      </w:pPr>
      <w:r>
        <w:t>5层平面</w:t>
      </w:r>
    </w:p>
    <w:p>
      <w:pPr>
        <w:widowControl w:val="0"/>
        <w:jc w:val="center"/>
      </w:pPr>
      <w:r>
        <w:drawing>
          <wp:inline distT="0" distB="0" distL="0" distR="0">
            <wp:extent cx="5667375" cy="2886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pPr>
        <w:widowControl w:val="0"/>
        <w:jc w:val="center"/>
      </w:pPr>
      <w:r>
        <w:t>6层平面</w:t>
      </w:r>
    </w:p>
    <w:p>
      <w:pPr>
        <w:widowControl w:val="0"/>
        <w:jc w:val="center"/>
      </w:pPr>
      <w:r>
        <w:drawing>
          <wp:inline distT="0" distB="0" distL="0" distR="0">
            <wp:extent cx="4953000" cy="36385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4953520" cy="3638932"/>
                    </a:xfrm>
                    <a:prstGeom prst="rect">
                      <a:avLst/>
                    </a:prstGeom>
                  </pic:spPr>
                </pic:pic>
              </a:graphicData>
            </a:graphic>
          </wp:inline>
        </w:drawing>
      </w:r>
    </w:p>
    <w:p>
      <w:pPr>
        <w:widowControl w:val="0"/>
        <w:jc w:val="center"/>
      </w:pPr>
      <w:r>
        <w:t>左视图</w:t>
      </w:r>
    </w:p>
    <w:p>
      <w:pPr>
        <w:widowControl w:val="0"/>
        <w:jc w:val="center"/>
      </w:pPr>
      <w:r>
        <w:drawing>
          <wp:inline distT="0" distB="0" distL="0" distR="0">
            <wp:extent cx="4953000"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4953520" cy="3638932"/>
                    </a:xfrm>
                    <a:prstGeom prst="rect">
                      <a:avLst/>
                    </a:prstGeom>
                  </pic:spPr>
                </pic:pic>
              </a:graphicData>
            </a:graphic>
          </wp:inline>
        </w:drawing>
      </w:r>
    </w:p>
    <w:p>
      <w:pPr>
        <w:widowControl w:val="0"/>
        <w:jc w:val="center"/>
      </w:pPr>
      <w:r>
        <w:t>右视图</w:t>
      </w:r>
    </w:p>
    <w:p>
      <w:pPr>
        <w:widowControl w:val="0"/>
        <w:jc w:val="center"/>
      </w:pPr>
      <w:r>
        <w:drawing>
          <wp:inline distT="0" distB="0" distL="0" distR="0">
            <wp:extent cx="4953000"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4953520" cy="3638932"/>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4953000" cy="3638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4953520" cy="3638932"/>
                    </a:xfrm>
                    <a:prstGeom prst="rect">
                      <a:avLst/>
                    </a:prstGeom>
                  </pic:spPr>
                </pic:pic>
              </a:graphicData>
            </a:graphic>
          </wp:inline>
        </w:drawing>
      </w:r>
    </w:p>
    <w:p>
      <w:pPr>
        <w:widowControl w:val="0"/>
        <w:jc w:val="center"/>
      </w:pPr>
      <w:r>
        <w:t>东南轴侧图</w:t>
      </w:r>
    </w:p>
    <w:p>
      <w:pPr>
        <w:widowControl w:val="0"/>
        <w:jc w:val="center"/>
      </w:pPr>
      <w:r>
        <w:drawing>
          <wp:inline distT="0" distB="0" distL="0" distR="0">
            <wp:extent cx="4953000" cy="3638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4953520" cy="3638932"/>
                    </a:xfrm>
                    <a:prstGeom prst="rect">
                      <a:avLst/>
                    </a:prstGeom>
                  </pic:spPr>
                </pic:pic>
              </a:graphicData>
            </a:graphic>
          </wp:inline>
        </w:drawing>
      </w:r>
    </w:p>
    <w:p>
      <w:pPr>
        <w:widowControl w:val="0"/>
        <w:jc w:val="center"/>
      </w:pPr>
      <w:r>
        <w:t>西北轴侧图</w:t>
      </w:r>
    </w:p>
    <w:p>
      <w:pPr>
        <w:widowControl w:val="0"/>
        <w:jc w:val="center"/>
      </w:pPr>
      <w:r>
        <w:drawing>
          <wp:inline distT="0" distB="0" distL="0" distR="0">
            <wp:extent cx="4953000"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4953520" cy="3638932"/>
                    </a:xfrm>
                    <a:prstGeom prst="rect">
                      <a:avLst/>
                    </a:prstGeom>
                  </pic:spPr>
                </pic:pic>
              </a:graphicData>
            </a:graphic>
          </wp:inline>
        </w:drawing>
      </w:r>
    </w:p>
    <w:p>
      <w:pPr>
        <w:widowControl w:val="0"/>
        <w:jc w:val="center"/>
      </w:pPr>
      <w:r>
        <w:t>东北轴侧图</w:t>
      </w:r>
    </w:p>
    <w:p>
      <w:pPr>
        <w:pStyle w:val="2"/>
        <w:widowControl w:val="0"/>
        <w:jc w:val="both"/>
      </w:pPr>
      <w:bookmarkStart w:id="52" w:name="_Toc21338"/>
      <w:r>
        <w:t>围护结构</w:t>
      </w:r>
      <w:bookmarkEnd w:id="52"/>
    </w:p>
    <w:p>
      <w:pPr>
        <w:pStyle w:val="4"/>
        <w:widowControl w:val="0"/>
        <w:jc w:val="both"/>
      </w:pPr>
      <w:bookmarkStart w:id="53" w:name="_Toc29416"/>
      <w:r>
        <w:t>工程材料</w:t>
      </w:r>
      <w:bookmarkEnd w:id="53"/>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来源：《民用建筑热工设计规范》GB50176-2016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r>
              <w:rPr>
                <w:sz w:val="18"/>
                <w:szCs w:val="18"/>
              </w:rPr>
              <w:t>来源：《民用建筑热工设计规范》GB50176-2016，蒸汽渗透系数没有给出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浮石、凝灰岩</w:t>
            </w:r>
          </w:p>
        </w:tc>
        <w:tc>
          <w:tcPr>
            <w:vAlign w:val="center"/>
          </w:tcPr>
          <w:p>
            <w:r>
              <w:t>0.230</w:t>
            </w:r>
          </w:p>
        </w:tc>
        <w:tc>
          <w:tcPr>
            <w:vAlign w:val="center"/>
          </w:tcPr>
          <w:p>
            <w:r>
              <w:t>3.050</w:t>
            </w:r>
          </w:p>
        </w:tc>
        <w:tc>
          <w:tcPr>
            <w:vAlign w:val="center"/>
          </w:tcPr>
          <w:p>
            <w:r>
              <w:t>600.0</w:t>
            </w:r>
          </w:p>
        </w:tc>
        <w:tc>
          <w:tcPr>
            <w:vAlign w:val="center"/>
          </w:tcPr>
          <w:p>
            <w:r>
              <w:t>926.9</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17.200</w:t>
            </w:r>
          </w:p>
        </w:tc>
        <w:tc>
          <w:tcPr>
            <w:vAlign w:val="center"/>
          </w:tcPr>
          <w:p>
            <w:r>
              <w:t>2500.0</w:t>
            </w:r>
          </w:p>
        </w:tc>
        <w:tc>
          <w:tcPr>
            <w:vAlign w:val="center"/>
          </w:tcPr>
          <w:p>
            <w:r>
              <w:t>935.2</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11.370</w:t>
            </w:r>
          </w:p>
        </w:tc>
        <w:tc>
          <w:tcPr>
            <w:vAlign w:val="center"/>
          </w:tcPr>
          <w:p>
            <w:r>
              <w:t>1800.0</w:t>
            </w:r>
          </w:p>
        </w:tc>
        <w:tc>
          <w:tcPr>
            <w:vAlign w:val="center"/>
          </w:tcPr>
          <w:p>
            <w:r>
              <w:t>1061.9</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粘土陶粒混凝土(ρ=1200)</w:t>
            </w:r>
          </w:p>
        </w:tc>
        <w:tc>
          <w:tcPr>
            <w:vAlign w:val="center"/>
          </w:tcPr>
          <w:p>
            <w:r>
              <w:t>0.530</w:t>
            </w:r>
          </w:p>
        </w:tc>
        <w:tc>
          <w:tcPr>
            <w:vAlign w:val="center"/>
          </w:tcPr>
          <w:p>
            <w:r>
              <w:t>7.250</w:t>
            </w:r>
          </w:p>
        </w:tc>
        <w:tc>
          <w:tcPr>
            <w:vAlign w:val="center"/>
          </w:tcPr>
          <w:p>
            <w:r>
              <w:t>1200.0</w:t>
            </w:r>
          </w:p>
        </w:tc>
        <w:tc>
          <w:tcPr>
            <w:vAlign w:val="center"/>
          </w:tcPr>
          <w:p>
            <w:r>
              <w:t>1136.5</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0.033</w:t>
            </w:r>
          </w:p>
        </w:tc>
        <w:tc>
          <w:tcPr>
            <w:vAlign w:val="center"/>
          </w:tcPr>
          <w:p>
            <w:r>
              <w:t>0.347</w:t>
            </w:r>
          </w:p>
        </w:tc>
        <w:tc>
          <w:tcPr>
            <w:vAlign w:val="center"/>
          </w:tcPr>
          <w:p>
            <w:r>
              <w:t>28.0</w:t>
            </w:r>
          </w:p>
        </w:tc>
        <w:tc>
          <w:tcPr>
            <w:vAlign w:val="center"/>
          </w:tcPr>
          <w:p>
            <w:r>
              <w:t>1790.0</w:t>
            </w:r>
          </w:p>
        </w:tc>
        <w:tc>
          <w:tcPr>
            <w:vAlign w:val="center"/>
          </w:tcPr>
          <w:p>
            <w:r>
              <w:t>0.0000</w:t>
            </w:r>
          </w:p>
        </w:tc>
        <w:tc>
          <w:tcPr>
            <w:vAlign w:val="center"/>
          </w:tcPr>
          <w:p>
            <w:pPr>
              <w:rPr>
                <w:sz w:val="18"/>
                <w:szCs w:val="18"/>
              </w:rPr>
            </w:pPr>
          </w:p>
        </w:tc>
      </w:tr>
    </w:tbl>
    <w:p>
      <w:pPr>
        <w:pStyle w:val="2"/>
        <w:widowControl w:val="0"/>
        <w:jc w:val="both"/>
      </w:pPr>
      <w:bookmarkStart w:id="54" w:name="_Toc2236"/>
      <w:r>
        <w:t>房间类型</w:t>
      </w:r>
      <w:bookmarkEnd w:id="54"/>
    </w:p>
    <w:p>
      <w:pPr>
        <w:pStyle w:val="4"/>
        <w:widowControl w:val="0"/>
        <w:jc w:val="both"/>
      </w:pPr>
      <w:bookmarkStart w:id="55" w:name="_Toc28347"/>
      <w:r>
        <w:t>房间表</w:t>
      </w:r>
      <w:bookmarkEnd w:id="55"/>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bl>
    <w:p>
      <w:pPr>
        <w:pStyle w:val="4"/>
        <w:widowControl w:val="0"/>
        <w:jc w:val="both"/>
      </w:pPr>
      <w:bookmarkStart w:id="56" w:name="_Toc30589"/>
      <w:r>
        <w:t>作息时间表</w:t>
      </w:r>
      <w:bookmarkEnd w:id="56"/>
    </w:p>
    <w:p>
      <w:pPr>
        <w:widowControl w:val="0"/>
        <w:jc w:val="both"/>
      </w:pPr>
      <w:r>
        <w:t>详见附录</w:t>
      </w:r>
    </w:p>
    <w:p>
      <w:pPr>
        <w:pStyle w:val="2"/>
        <w:widowControl w:val="0"/>
        <w:jc w:val="both"/>
      </w:pPr>
      <w:bookmarkStart w:id="57" w:name="_Toc22887"/>
      <w:r>
        <w:t>设计建筑</w:t>
      </w:r>
      <w:bookmarkEnd w:id="57"/>
    </w:p>
    <w:p>
      <w:pPr>
        <w:pStyle w:val="4"/>
        <w:widowControl w:val="0"/>
        <w:jc w:val="both"/>
      </w:pPr>
      <w:bookmarkStart w:id="58" w:name="_Toc31179"/>
      <w:r>
        <w:t>负荷分项统计</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16.26</w:t>
            </w:r>
          </w:p>
        </w:tc>
        <w:tc>
          <w:tcPr>
            <w:vAlign w:val="center"/>
          </w:tcPr>
          <w:p>
            <w:r>
              <w:t>22.68</w:t>
            </w:r>
          </w:p>
        </w:tc>
        <w:tc>
          <w:tcPr>
            <w:vAlign w:val="center"/>
          </w:tcPr>
          <w:p>
            <w:r>
              <w:t>2.84</w:t>
            </w:r>
          </w:p>
        </w:tc>
        <w:tc>
          <w:tcPr>
            <w:vAlign w:val="center"/>
          </w:tcPr>
          <w:p>
            <w:r>
              <w:t>26.61</w:t>
            </w:r>
          </w:p>
        </w:tc>
        <w:tc>
          <w:tcPr>
            <w:vAlign w:val="center"/>
          </w:tcPr>
          <w:p>
            <w:r>
              <w:t>0.00</w:t>
            </w:r>
          </w:p>
        </w:tc>
        <w:tc>
          <w:tcPr>
            <w:vAlign w:val="center"/>
          </w:tcPr>
          <w:p>
            <w:r>
              <w:t>68.39</w:t>
            </w:r>
          </w:p>
        </w:tc>
      </w:tr>
    </w:tbl>
    <w:p>
      <w:pPr>
        <w:pStyle w:val="2"/>
      </w:pPr>
      <w:bookmarkStart w:id="59" w:name="_Toc22053"/>
      <w:r>
        <w:t>参照建筑</w:t>
      </w:r>
      <w:bookmarkEnd w:id="59"/>
    </w:p>
    <w:p>
      <w:pPr>
        <w:pStyle w:val="4"/>
        <w:widowControl w:val="0"/>
        <w:jc w:val="both"/>
      </w:pPr>
      <w:bookmarkStart w:id="60" w:name="_Toc6325"/>
      <w:r>
        <w:t>负荷分项统计</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19.13</w:t>
            </w:r>
          </w:p>
        </w:tc>
        <w:tc>
          <w:tcPr>
            <w:vAlign w:val="center"/>
          </w:tcPr>
          <w:p>
            <w:r>
              <w:t>22.79</w:t>
            </w:r>
          </w:p>
        </w:tc>
        <w:tc>
          <w:tcPr>
            <w:vAlign w:val="center"/>
          </w:tcPr>
          <w:p>
            <w:r>
              <w:t>2.42</w:t>
            </w:r>
          </w:p>
        </w:tc>
        <w:tc>
          <w:tcPr>
            <w:vAlign w:val="center"/>
          </w:tcPr>
          <w:p>
            <w:r>
              <w:t>26.64</w:t>
            </w:r>
          </w:p>
        </w:tc>
        <w:tc>
          <w:tcPr>
            <w:vAlign w:val="center"/>
          </w:tcPr>
          <w:p>
            <w:r>
              <w:t>0.00</w:t>
            </w:r>
          </w:p>
        </w:tc>
        <w:tc>
          <w:tcPr>
            <w:vAlign w:val="center"/>
          </w:tcPr>
          <w:p>
            <w:r>
              <w:t>70.97</w:t>
            </w:r>
          </w:p>
        </w:tc>
      </w:tr>
    </w:tbl>
    <w:p>
      <w:pPr>
        <w:pStyle w:val="2"/>
      </w:pPr>
      <w:bookmarkStart w:id="61" w:name="_Toc22941"/>
      <w:r>
        <w:t>计算结果</w:t>
      </w:r>
      <w:bookmarkEnd w:id="61"/>
    </w:p>
    <w:p>
      <w:pPr>
        <w:pStyle w:val="4"/>
        <w:widowControl w:val="0"/>
        <w:jc w:val="both"/>
      </w:pPr>
      <w:bookmarkStart w:id="62" w:name="_Toc3786"/>
      <w:r>
        <w:t>围护结构热工性能对比</w:t>
      </w:r>
      <w:bookmarkEnd w:id="62"/>
    </w:p>
    <w:p/>
    <w:tbl>
      <w:tblPr>
        <w:tblStyle w:val="18"/>
        <w:tblW w:w="493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85"/>
        <w:gridCol w:w="1542"/>
        <w:gridCol w:w="1047"/>
        <w:gridCol w:w="1021"/>
        <w:gridCol w:w="7"/>
        <w:gridCol w:w="1005"/>
        <w:gridCol w:w="902"/>
        <w:gridCol w:w="987"/>
        <w:gridCol w:w="9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jc w:val="center"/>
              <w:rPr>
                <w:bCs/>
                <w:szCs w:val="21"/>
              </w:rPr>
            </w:pPr>
            <w:bookmarkStart w:id="63" w:name="_Toc269827859"/>
            <w:bookmarkStart w:id="64" w:name="_Toc268077333"/>
          </w:p>
        </w:tc>
        <w:tc>
          <w:tcPr>
            <w:tcW w:w="1680" w:type="pct"/>
            <w:gridSpan w:val="4"/>
            <w:shd w:val="clear" w:color="auto" w:fill="E6E6E6"/>
            <w:vAlign w:val="center"/>
          </w:tcPr>
          <w:p>
            <w:pPr>
              <w:jc w:val="center"/>
              <w:rPr>
                <w:bCs/>
                <w:szCs w:val="21"/>
              </w:rPr>
            </w:pPr>
            <w:bookmarkStart w:id="65" w:name="设计建筑别名"/>
            <w:r>
              <w:rPr>
                <w:rFonts w:hAnsi="宋体"/>
                <w:bCs/>
                <w:szCs w:val="21"/>
              </w:rPr>
              <w:t>设计建筑</w:t>
            </w:r>
            <w:bookmarkEnd w:id="65"/>
          </w:p>
        </w:tc>
        <w:tc>
          <w:tcPr>
            <w:tcW w:w="1560" w:type="pct"/>
            <w:gridSpan w:val="3"/>
            <w:shd w:val="clear" w:color="auto" w:fill="E6E6E6"/>
            <w:vAlign w:val="center"/>
          </w:tcPr>
          <w:p>
            <w:pPr>
              <w:jc w:val="center"/>
              <w:rPr>
                <w:bCs/>
                <w:szCs w:val="21"/>
              </w:rPr>
            </w:pPr>
            <w:bookmarkStart w:id="66" w:name="参照建筑别名"/>
            <w:r>
              <w:rPr>
                <w:rFonts w:hAnsi="宋体"/>
                <w:kern w:val="0"/>
                <w:szCs w:val="21"/>
              </w:rPr>
              <w:t>参照建筑</w:t>
            </w:r>
            <w:bookmarkEnd w:id="6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widowControl/>
              <w:jc w:val="center"/>
              <w:rPr>
                <w:rFonts w:hAnsi="宋体"/>
                <w:kern w:val="0"/>
                <w:szCs w:val="21"/>
              </w:rPr>
            </w:pPr>
            <w:r>
              <w:rPr>
                <w:rFonts w:hint="eastAsia" w:hAnsi="宋体"/>
                <w:kern w:val="0"/>
                <w:szCs w:val="21"/>
              </w:rPr>
              <w:t>体型系数S</w:t>
            </w:r>
          </w:p>
        </w:tc>
        <w:tc>
          <w:tcPr>
            <w:tcW w:w="1680" w:type="pct"/>
            <w:gridSpan w:val="4"/>
            <w:shd w:val="clear" w:color="auto" w:fill="auto"/>
            <w:vAlign w:val="center"/>
          </w:tcPr>
          <w:p>
            <w:pPr>
              <w:widowControl/>
              <w:jc w:val="center"/>
              <w:rPr>
                <w:kern w:val="0"/>
                <w:szCs w:val="21"/>
              </w:rPr>
            </w:pPr>
            <w:bookmarkStart w:id="67" w:name="体型系数"/>
            <w:r>
              <w:t>1.12</w:t>
            </w:r>
            <w:bookmarkEnd w:id="67"/>
          </w:p>
        </w:tc>
        <w:tc>
          <w:tcPr>
            <w:tcW w:w="1560" w:type="pct"/>
            <w:gridSpan w:val="3"/>
            <w:shd w:val="clear" w:color="auto" w:fill="auto"/>
            <w:vAlign w:val="center"/>
          </w:tcPr>
          <w:p>
            <w:pPr>
              <w:widowControl/>
              <w:jc w:val="center"/>
              <w:rPr>
                <w:kern w:val="0"/>
                <w:szCs w:val="21"/>
              </w:rPr>
            </w:pPr>
            <w:bookmarkStart w:id="68" w:name="参照建筑体型系数"/>
            <w:r>
              <w:t>1.12</w:t>
            </w:r>
            <w:bookmarkEnd w:id="6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widowControl/>
              <w:rPr>
                <w:kern w:val="0"/>
                <w:szCs w:val="21"/>
              </w:rPr>
            </w:pPr>
            <w:r>
              <w:rPr>
                <w:rFonts w:hAnsi="宋体"/>
                <w:kern w:val="0"/>
                <w:szCs w:val="21"/>
              </w:rPr>
              <w:t>屋顶</w:t>
            </w:r>
            <w:r>
              <w:rPr>
                <w:rFonts w:hint="eastAsia" w:hAnsi="宋体"/>
                <w:kern w:val="0"/>
                <w:szCs w:val="21"/>
              </w:rPr>
              <w:t>平均</w:t>
            </w:r>
            <w:r>
              <w:rPr>
                <w:rFonts w:hAnsi="宋体"/>
                <w:kern w:val="0"/>
                <w:szCs w:val="21"/>
              </w:rPr>
              <w:t>传热系数</w:t>
            </w:r>
            <w:r>
              <w:rPr>
                <w:kern w:val="0"/>
                <w:szCs w:val="21"/>
              </w:rPr>
              <w:t>K [W/(m</w:t>
            </w:r>
            <w:r>
              <w:rPr>
                <w:kern w:val="0"/>
                <w:szCs w:val="21"/>
                <w:vertAlign w:val="superscript"/>
              </w:rPr>
              <w:t>2</w:t>
            </w:r>
            <w:r>
              <w:rPr>
                <w:kern w:val="0"/>
                <w:szCs w:val="21"/>
              </w:rPr>
              <w:t>·K)]</w:t>
            </w:r>
            <w:r>
              <w:rPr>
                <w:rFonts w:hint="eastAsia"/>
                <w:kern w:val="0"/>
                <w:szCs w:val="21"/>
              </w:rPr>
              <w:t>、平均热惰性指标</w:t>
            </w:r>
          </w:p>
        </w:tc>
        <w:tc>
          <w:tcPr>
            <w:tcW w:w="1680" w:type="pct"/>
            <w:gridSpan w:val="4"/>
            <w:shd w:val="clear" w:color="auto" w:fill="auto"/>
            <w:vAlign w:val="center"/>
          </w:tcPr>
          <w:p>
            <w:pPr>
              <w:jc w:val="center"/>
              <w:rPr>
                <w:bCs/>
                <w:szCs w:val="21"/>
              </w:rPr>
            </w:pPr>
            <w:bookmarkStart w:id="69" w:name="屋顶K"/>
            <w:r>
              <w:rPr>
                <w:rFonts w:hint="eastAsia"/>
                <w:kern w:val="0"/>
                <w:szCs w:val="21"/>
                <w:lang w:val="de-DE"/>
              </w:rPr>
              <w:t>0.89</w:t>
            </w:r>
            <w:bookmarkEnd w:id="69"/>
            <w:r>
              <w:rPr>
                <w:rFonts w:hint="eastAsia"/>
                <w:kern w:val="0"/>
                <w:szCs w:val="21"/>
                <w:lang w:val="de-DE"/>
              </w:rPr>
              <w:t>,</w:t>
            </w:r>
            <w:bookmarkStart w:id="70" w:name="屋顶D"/>
            <w:r>
              <w:rPr>
                <w:rFonts w:hint="eastAsia"/>
                <w:kern w:val="0"/>
                <w:szCs w:val="21"/>
                <w:lang w:val="de-DE"/>
              </w:rPr>
              <w:t>1.00</w:t>
            </w:r>
            <w:bookmarkEnd w:id="70"/>
          </w:p>
        </w:tc>
        <w:tc>
          <w:tcPr>
            <w:tcW w:w="1560" w:type="pct"/>
            <w:gridSpan w:val="3"/>
            <w:shd w:val="clear" w:color="auto" w:fill="auto"/>
            <w:vAlign w:val="center"/>
          </w:tcPr>
          <w:p>
            <w:pPr>
              <w:widowControl/>
              <w:jc w:val="center"/>
              <w:rPr>
                <w:kern w:val="0"/>
                <w:szCs w:val="21"/>
              </w:rPr>
            </w:pPr>
            <w:bookmarkStart w:id="71" w:name="参照建筑屋顶K"/>
            <w:r>
              <w:rPr>
                <w:rFonts w:hint="eastAsia"/>
                <w:bCs/>
                <w:szCs w:val="21"/>
              </w:rPr>
              <w:t>0.40</w:t>
            </w:r>
            <w:bookmarkEnd w:id="71"/>
            <w:r>
              <w:rPr>
                <w:rFonts w:hint="eastAsia"/>
                <w:bCs/>
                <w:szCs w:val="21"/>
              </w:rPr>
              <w:t>,</w:t>
            </w:r>
            <w:bookmarkStart w:id="72" w:name="参照建筑屋顶D"/>
            <w:r>
              <w:rPr>
                <w:rFonts w:hint="eastAsia"/>
                <w:bCs/>
                <w:szCs w:val="21"/>
              </w:rPr>
              <w:t>1.00</w:t>
            </w:r>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widowControl/>
              <w:rPr>
                <w:kern w:val="0"/>
                <w:szCs w:val="21"/>
              </w:rPr>
            </w:pPr>
            <w:r>
              <w:rPr>
                <w:rFonts w:hAnsi="宋体"/>
                <w:kern w:val="0"/>
                <w:szCs w:val="21"/>
              </w:rPr>
              <w:t>外墙</w:t>
            </w:r>
            <w:r>
              <w:rPr>
                <w:rFonts w:hint="eastAsia" w:hAnsi="宋体"/>
                <w:kern w:val="0"/>
                <w:szCs w:val="21"/>
              </w:rPr>
              <w:t>平均</w:t>
            </w:r>
            <w:r>
              <w:rPr>
                <w:rFonts w:hAnsi="宋体"/>
                <w:kern w:val="0"/>
                <w:szCs w:val="21"/>
              </w:rPr>
              <w:t>传热系数</w:t>
            </w:r>
            <w:r>
              <w:rPr>
                <w:kern w:val="0"/>
                <w:szCs w:val="21"/>
              </w:rPr>
              <w:t>K [W/(m</w:t>
            </w:r>
            <w:r>
              <w:rPr>
                <w:kern w:val="0"/>
                <w:szCs w:val="21"/>
                <w:vertAlign w:val="superscript"/>
              </w:rPr>
              <w:t>2</w:t>
            </w:r>
            <w:r>
              <w:rPr>
                <w:kern w:val="0"/>
                <w:szCs w:val="21"/>
              </w:rPr>
              <w:t>·K)]</w:t>
            </w:r>
            <w:r>
              <w:rPr>
                <w:rFonts w:hint="eastAsia"/>
                <w:kern w:val="0"/>
                <w:szCs w:val="21"/>
              </w:rPr>
              <w:t>、平均热惰性指标</w:t>
            </w:r>
          </w:p>
        </w:tc>
        <w:tc>
          <w:tcPr>
            <w:tcW w:w="1680" w:type="pct"/>
            <w:gridSpan w:val="4"/>
            <w:shd w:val="clear" w:color="auto" w:fill="auto"/>
            <w:vAlign w:val="center"/>
          </w:tcPr>
          <w:p>
            <w:pPr>
              <w:jc w:val="center"/>
              <w:rPr>
                <w:bCs/>
                <w:szCs w:val="21"/>
              </w:rPr>
            </w:pPr>
            <w:bookmarkStart w:id="73" w:name="外墙K"/>
            <w:r>
              <w:rPr>
                <w:rFonts w:hint="eastAsia"/>
                <w:kern w:val="0"/>
                <w:szCs w:val="21"/>
                <w:lang w:val="de-DE"/>
              </w:rPr>
              <w:t>1.11</w:t>
            </w:r>
            <w:bookmarkEnd w:id="73"/>
            <w:r>
              <w:rPr>
                <w:rFonts w:hint="eastAsia"/>
                <w:kern w:val="0"/>
                <w:szCs w:val="21"/>
                <w:lang w:val="de-DE"/>
              </w:rPr>
              <w:t>,</w:t>
            </w:r>
            <w:bookmarkStart w:id="74" w:name="外墙D"/>
            <w:r>
              <w:rPr>
                <w:rFonts w:hint="eastAsia"/>
                <w:kern w:val="0"/>
                <w:szCs w:val="21"/>
                <w:lang w:val="de-DE"/>
              </w:rPr>
              <w:t>2.94</w:t>
            </w:r>
            <w:bookmarkEnd w:id="74"/>
          </w:p>
        </w:tc>
        <w:tc>
          <w:tcPr>
            <w:tcW w:w="1560" w:type="pct"/>
            <w:gridSpan w:val="3"/>
            <w:shd w:val="clear" w:color="auto" w:fill="auto"/>
            <w:vAlign w:val="center"/>
          </w:tcPr>
          <w:p>
            <w:pPr>
              <w:widowControl/>
              <w:jc w:val="center"/>
              <w:rPr>
                <w:kern w:val="0"/>
                <w:szCs w:val="21"/>
              </w:rPr>
            </w:pPr>
            <w:bookmarkStart w:id="75" w:name="参照建筑外墙K"/>
            <w:r>
              <w:rPr>
                <w:rFonts w:hint="eastAsia"/>
                <w:bCs/>
                <w:szCs w:val="21"/>
              </w:rPr>
              <w:t>1.50</w:t>
            </w:r>
            <w:bookmarkEnd w:id="75"/>
            <w:r>
              <w:rPr>
                <w:rFonts w:hint="eastAsia"/>
                <w:bCs/>
                <w:szCs w:val="21"/>
              </w:rPr>
              <w:t>,</w:t>
            </w:r>
            <w:bookmarkStart w:id="76" w:name="参照建筑外墙D"/>
            <w:r>
              <w:rPr>
                <w:rFonts w:hint="eastAsia"/>
                <w:bCs/>
                <w:szCs w:val="21"/>
              </w:rPr>
              <w:t>2.94</w:t>
            </w:r>
            <w:bookmarkEnd w:id="7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widowControl/>
              <w:jc w:val="center"/>
              <w:rPr>
                <w:bCs/>
                <w:szCs w:val="21"/>
              </w:rPr>
            </w:pPr>
            <w:r>
              <w:rPr>
                <w:rFonts w:hint="eastAsia"/>
                <w:szCs w:val="21"/>
              </w:rPr>
              <w:t>屋顶透明部分</w:t>
            </w:r>
            <w:r>
              <w:rPr>
                <w:rFonts w:hint="eastAsia"/>
                <w:bCs/>
                <w:szCs w:val="21"/>
              </w:rPr>
              <w:t>传热系数</w:t>
            </w:r>
          </w:p>
          <w:p>
            <w:pPr>
              <w:widowControl/>
              <w:jc w:val="center"/>
              <w:rPr>
                <w:rFonts w:hAnsi="宋体"/>
                <w:kern w:val="0"/>
                <w:szCs w:val="21"/>
              </w:rPr>
            </w:pPr>
            <w:r>
              <w:rPr>
                <w:kern w:val="0"/>
                <w:szCs w:val="21"/>
              </w:rPr>
              <w:t>K [W/(m</w:t>
            </w:r>
            <w:r>
              <w:rPr>
                <w:kern w:val="0"/>
                <w:szCs w:val="21"/>
                <w:vertAlign w:val="superscript"/>
              </w:rPr>
              <w:t>2</w:t>
            </w:r>
            <w:r>
              <w:rPr>
                <w:kern w:val="0"/>
                <w:szCs w:val="21"/>
              </w:rPr>
              <w:t>·K)]</w:t>
            </w:r>
          </w:p>
        </w:tc>
        <w:tc>
          <w:tcPr>
            <w:tcW w:w="1680" w:type="pct"/>
            <w:gridSpan w:val="4"/>
            <w:shd w:val="clear" w:color="auto" w:fill="auto"/>
            <w:vAlign w:val="center"/>
          </w:tcPr>
          <w:p>
            <w:pPr>
              <w:jc w:val="center"/>
              <w:rPr>
                <w:bCs/>
                <w:szCs w:val="21"/>
              </w:rPr>
            </w:pPr>
            <w:bookmarkStart w:id="77" w:name="天窗K"/>
            <w:r>
              <w:t>－</w:t>
            </w:r>
            <w:bookmarkEnd w:id="77"/>
          </w:p>
        </w:tc>
        <w:tc>
          <w:tcPr>
            <w:tcW w:w="1560" w:type="pct"/>
            <w:gridSpan w:val="3"/>
            <w:shd w:val="clear" w:color="auto" w:fill="auto"/>
            <w:vAlign w:val="center"/>
          </w:tcPr>
          <w:p>
            <w:pPr>
              <w:widowControl/>
              <w:jc w:val="center"/>
              <w:rPr>
                <w:kern w:val="0"/>
                <w:szCs w:val="21"/>
              </w:rPr>
            </w:pPr>
            <w:bookmarkStart w:id="78" w:name="参照建筑天窗K"/>
            <w:r>
              <w:t>－</w:t>
            </w:r>
            <w:bookmarkEnd w:id="7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widowControl/>
              <w:jc w:val="center"/>
              <w:rPr>
                <w:szCs w:val="21"/>
              </w:rPr>
            </w:pPr>
            <w:r>
              <w:rPr>
                <w:rFonts w:hint="eastAsia"/>
                <w:bCs/>
                <w:szCs w:val="21"/>
              </w:rPr>
              <w:t>屋顶透明部分遮阳系数</w:t>
            </w:r>
          </w:p>
        </w:tc>
        <w:tc>
          <w:tcPr>
            <w:tcW w:w="1680" w:type="pct"/>
            <w:gridSpan w:val="4"/>
            <w:shd w:val="clear" w:color="auto" w:fill="auto"/>
            <w:vAlign w:val="center"/>
          </w:tcPr>
          <w:p>
            <w:pPr>
              <w:jc w:val="center"/>
              <w:rPr>
                <w:bCs/>
                <w:szCs w:val="21"/>
              </w:rPr>
            </w:pPr>
            <w:bookmarkStart w:id="79" w:name="天窗SC"/>
            <w:r>
              <w:t>－</w:t>
            </w:r>
            <w:bookmarkEnd w:id="79"/>
          </w:p>
        </w:tc>
        <w:tc>
          <w:tcPr>
            <w:tcW w:w="1560" w:type="pct"/>
            <w:gridSpan w:val="3"/>
            <w:shd w:val="clear" w:color="auto" w:fill="auto"/>
            <w:vAlign w:val="center"/>
          </w:tcPr>
          <w:p>
            <w:pPr>
              <w:widowControl/>
              <w:jc w:val="center"/>
              <w:rPr>
                <w:kern w:val="0"/>
                <w:szCs w:val="21"/>
              </w:rPr>
            </w:pPr>
            <w:bookmarkStart w:id="80" w:name="参照建筑天窗SC"/>
            <w:r>
              <w:t>－</w:t>
            </w:r>
            <w:bookmarkEnd w:id="8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59" w:type="pct"/>
            <w:gridSpan w:val="2"/>
            <w:shd w:val="clear" w:color="auto" w:fill="E6E6E6"/>
            <w:vAlign w:val="center"/>
          </w:tcPr>
          <w:p>
            <w:pPr>
              <w:widowControl/>
              <w:jc w:val="center"/>
              <w:rPr>
                <w:rFonts w:hAnsi="宋体"/>
                <w:kern w:val="0"/>
                <w:szCs w:val="21"/>
              </w:rPr>
            </w:pPr>
            <w:r>
              <w:rPr>
                <w:rFonts w:hint="eastAsia" w:hAnsi="宋体"/>
                <w:kern w:val="0"/>
                <w:szCs w:val="21"/>
              </w:rPr>
              <w:t>底面接触室外空气的架空或外挑楼板传热系数</w:t>
            </w:r>
            <w:r>
              <w:rPr>
                <w:kern w:val="0"/>
                <w:szCs w:val="21"/>
              </w:rPr>
              <w:t>K [W/(m</w:t>
            </w:r>
            <w:r>
              <w:rPr>
                <w:kern w:val="0"/>
                <w:szCs w:val="21"/>
                <w:vertAlign w:val="superscript"/>
              </w:rPr>
              <w:t>2</w:t>
            </w:r>
            <w:r>
              <w:rPr>
                <w:kern w:val="0"/>
                <w:szCs w:val="21"/>
              </w:rPr>
              <w:t>·K)]</w:t>
            </w:r>
          </w:p>
        </w:tc>
        <w:tc>
          <w:tcPr>
            <w:tcW w:w="1680" w:type="pct"/>
            <w:gridSpan w:val="4"/>
            <w:shd w:val="clear" w:color="auto" w:fill="auto"/>
            <w:vAlign w:val="center"/>
          </w:tcPr>
          <w:p>
            <w:pPr>
              <w:jc w:val="center"/>
              <w:rPr>
                <w:bCs/>
                <w:szCs w:val="21"/>
              </w:rPr>
            </w:pPr>
            <w:bookmarkStart w:id="81" w:name="挑空楼板K"/>
            <w:r>
              <w:t>1.18</w:t>
            </w:r>
            <w:bookmarkEnd w:id="81"/>
          </w:p>
        </w:tc>
        <w:tc>
          <w:tcPr>
            <w:tcW w:w="1560" w:type="pct"/>
            <w:gridSpan w:val="3"/>
            <w:shd w:val="clear" w:color="auto" w:fill="auto"/>
            <w:vAlign w:val="center"/>
          </w:tcPr>
          <w:p>
            <w:pPr>
              <w:widowControl/>
              <w:jc w:val="center"/>
              <w:rPr>
                <w:kern w:val="0"/>
                <w:szCs w:val="21"/>
              </w:rPr>
            </w:pPr>
            <w:bookmarkStart w:id="82" w:name="参照建筑挑空楼板K"/>
            <w:r>
              <w:t>1.50</w:t>
            </w:r>
            <w:bookmarkEnd w:id="8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9"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841" w:type="pct"/>
            <w:shd w:val="clear" w:color="auto" w:fill="E6E6E6"/>
            <w:vAlign w:val="center"/>
          </w:tcPr>
          <w:p>
            <w:pPr>
              <w:jc w:val="center"/>
              <w:rPr>
                <w:bCs/>
                <w:szCs w:val="21"/>
              </w:rPr>
            </w:pPr>
            <w:r>
              <w:rPr>
                <w:rFonts w:hint="eastAsia"/>
                <w:bCs/>
                <w:szCs w:val="21"/>
              </w:rPr>
              <w:t>朝向</w:t>
            </w:r>
          </w:p>
        </w:tc>
        <w:tc>
          <w:tcPr>
            <w:tcW w:w="571" w:type="pct"/>
            <w:shd w:val="clear" w:color="auto" w:fill="E6E6E6"/>
            <w:vAlign w:val="center"/>
          </w:tcPr>
          <w:p>
            <w:pPr>
              <w:jc w:val="center"/>
              <w:rPr>
                <w:bCs/>
                <w:szCs w:val="21"/>
              </w:rPr>
            </w:pPr>
            <w:r>
              <w:rPr>
                <w:rFonts w:hint="eastAsia"/>
                <w:bCs/>
                <w:szCs w:val="21"/>
              </w:rPr>
              <w:t>窗墙比</w:t>
            </w:r>
          </w:p>
        </w:tc>
        <w:tc>
          <w:tcPr>
            <w:tcW w:w="561" w:type="pct"/>
            <w:gridSpan w:val="2"/>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48" w:type="pct"/>
            <w:shd w:val="clear" w:color="auto" w:fill="E6E6E6"/>
            <w:vAlign w:val="center"/>
          </w:tcPr>
          <w:p>
            <w:pPr>
              <w:jc w:val="center"/>
              <w:rPr>
                <w:bCs/>
                <w:szCs w:val="21"/>
              </w:rPr>
            </w:pPr>
            <w:r>
              <w:rPr>
                <w:rFonts w:hint="eastAsia"/>
                <w:bCs/>
                <w:szCs w:val="21"/>
              </w:rPr>
              <w:t>遮阳</w:t>
            </w:r>
          </w:p>
          <w:p>
            <w:pPr>
              <w:jc w:val="center"/>
              <w:rPr>
                <w:bCs/>
                <w:szCs w:val="21"/>
              </w:rPr>
            </w:pPr>
            <w:r>
              <w:rPr>
                <w:rFonts w:hint="eastAsia"/>
                <w:bCs/>
                <w:szCs w:val="21"/>
              </w:rPr>
              <w:t>系数</w:t>
            </w:r>
          </w:p>
        </w:tc>
        <w:tc>
          <w:tcPr>
            <w:tcW w:w="492" w:type="pct"/>
            <w:shd w:val="clear" w:color="auto" w:fill="E6E6E6"/>
            <w:vAlign w:val="center"/>
          </w:tcPr>
          <w:p>
            <w:pPr>
              <w:jc w:val="center"/>
              <w:rPr>
                <w:bCs/>
                <w:szCs w:val="21"/>
              </w:rPr>
            </w:pPr>
            <w:r>
              <w:rPr>
                <w:rFonts w:hint="eastAsia"/>
                <w:bCs/>
                <w:szCs w:val="21"/>
              </w:rPr>
              <w:t>窗墙比</w:t>
            </w:r>
          </w:p>
        </w:tc>
        <w:tc>
          <w:tcPr>
            <w:tcW w:w="538"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530" w:type="pct"/>
            <w:shd w:val="clear" w:color="auto" w:fill="E6E6E6"/>
            <w:vAlign w:val="center"/>
          </w:tcPr>
          <w:p>
            <w:pPr>
              <w:jc w:val="center"/>
              <w:rPr>
                <w:bCs/>
                <w:szCs w:val="21"/>
              </w:rPr>
            </w:pPr>
            <w:r>
              <w:rPr>
                <w:rFonts w:hint="eastAsia"/>
                <w:bCs/>
                <w:szCs w:val="21"/>
              </w:rPr>
              <w:t>遮阳</w:t>
            </w:r>
          </w:p>
          <w:p>
            <w:pPr>
              <w:jc w:val="center"/>
              <w:rPr>
                <w:bCs/>
                <w:szCs w:val="21"/>
              </w:rPr>
            </w:pPr>
            <w:r>
              <w:rPr>
                <w:rFonts w:hint="eastAsia"/>
                <w:bCs/>
                <w:szCs w:val="21"/>
              </w:rPr>
              <w:t>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9" w:type="pct"/>
            <w:vMerge w:val="continue"/>
            <w:shd w:val="clear" w:color="auto" w:fill="E6E6E6"/>
            <w:vAlign w:val="center"/>
          </w:tcPr>
          <w:p>
            <w:pPr>
              <w:jc w:val="center"/>
              <w:rPr>
                <w:bCs/>
                <w:szCs w:val="21"/>
              </w:rPr>
            </w:pPr>
          </w:p>
        </w:tc>
        <w:tc>
          <w:tcPr>
            <w:tcW w:w="841" w:type="pct"/>
            <w:shd w:val="clear" w:color="auto" w:fill="E6E6E6"/>
            <w:vAlign w:val="center"/>
          </w:tcPr>
          <w:p>
            <w:pPr>
              <w:jc w:val="center"/>
              <w:rPr>
                <w:rFonts w:hAnsi="宋体"/>
                <w:bCs/>
                <w:szCs w:val="21"/>
              </w:rPr>
            </w:pPr>
            <w:r>
              <w:rPr>
                <w:rFonts w:hAnsi="宋体"/>
                <w:bCs/>
                <w:szCs w:val="21"/>
              </w:rPr>
              <w:t>南向</w:t>
            </w:r>
          </w:p>
        </w:tc>
        <w:tc>
          <w:tcPr>
            <w:tcW w:w="571" w:type="pct"/>
            <w:shd w:val="clear" w:color="auto" w:fill="auto"/>
            <w:vAlign w:val="center"/>
          </w:tcPr>
          <w:p>
            <w:pPr>
              <w:jc w:val="center"/>
              <w:rPr>
                <w:bCs/>
                <w:szCs w:val="21"/>
              </w:rPr>
            </w:pPr>
            <w:bookmarkStart w:id="83" w:name="窗墙比－南向"/>
            <w:r>
              <w:rPr>
                <w:rFonts w:hint="eastAsia"/>
                <w:bCs/>
                <w:szCs w:val="21"/>
              </w:rPr>
              <w:t>0.28</w:t>
            </w:r>
            <w:bookmarkEnd w:id="83"/>
          </w:p>
        </w:tc>
        <w:tc>
          <w:tcPr>
            <w:tcW w:w="561" w:type="pct"/>
            <w:gridSpan w:val="2"/>
            <w:shd w:val="clear" w:color="auto" w:fill="auto"/>
            <w:vAlign w:val="center"/>
          </w:tcPr>
          <w:p>
            <w:pPr>
              <w:jc w:val="center"/>
              <w:rPr>
                <w:bCs/>
                <w:szCs w:val="21"/>
              </w:rPr>
            </w:pPr>
            <w:bookmarkStart w:id="84" w:name="外窗K－南向"/>
            <w:r>
              <w:rPr>
                <w:rFonts w:hint="eastAsia"/>
                <w:bCs/>
                <w:szCs w:val="21"/>
              </w:rPr>
              <w:t>3.90</w:t>
            </w:r>
            <w:bookmarkEnd w:id="84"/>
          </w:p>
        </w:tc>
        <w:tc>
          <w:tcPr>
            <w:tcW w:w="548" w:type="pct"/>
            <w:shd w:val="clear" w:color="auto" w:fill="auto"/>
            <w:vAlign w:val="center"/>
          </w:tcPr>
          <w:p>
            <w:pPr>
              <w:jc w:val="center"/>
              <w:rPr>
                <w:bCs/>
                <w:szCs w:val="21"/>
              </w:rPr>
            </w:pPr>
            <w:bookmarkStart w:id="85" w:name="外窗SC－南向"/>
            <w:r>
              <w:rPr>
                <w:rFonts w:hint="eastAsia"/>
                <w:bCs/>
                <w:szCs w:val="21"/>
              </w:rPr>
              <w:t>0.75</w:t>
            </w:r>
            <w:bookmarkEnd w:id="85"/>
          </w:p>
        </w:tc>
        <w:tc>
          <w:tcPr>
            <w:tcW w:w="492" w:type="pct"/>
            <w:shd w:val="clear" w:color="auto" w:fill="auto"/>
            <w:vAlign w:val="center"/>
          </w:tcPr>
          <w:p>
            <w:pPr>
              <w:jc w:val="center"/>
              <w:rPr>
                <w:bCs/>
                <w:szCs w:val="21"/>
              </w:rPr>
            </w:pPr>
            <w:bookmarkStart w:id="86" w:name="参照建筑窗墙比－南向"/>
            <w:r>
              <w:rPr>
                <w:rFonts w:hint="eastAsia"/>
                <w:bCs/>
                <w:szCs w:val="21"/>
              </w:rPr>
              <w:t>0.28</w:t>
            </w:r>
            <w:bookmarkEnd w:id="86"/>
          </w:p>
        </w:tc>
        <w:tc>
          <w:tcPr>
            <w:tcW w:w="538" w:type="pct"/>
            <w:shd w:val="clear" w:color="auto" w:fill="auto"/>
            <w:vAlign w:val="center"/>
          </w:tcPr>
          <w:p>
            <w:pPr>
              <w:jc w:val="center"/>
              <w:rPr>
                <w:bCs/>
                <w:szCs w:val="21"/>
              </w:rPr>
            </w:pPr>
            <w:bookmarkStart w:id="87" w:name="参照建筑外窗K－南向"/>
            <w:r>
              <w:rPr>
                <w:rFonts w:hint="eastAsia"/>
                <w:bCs/>
                <w:szCs w:val="21"/>
              </w:rPr>
              <w:t>4.70</w:t>
            </w:r>
            <w:bookmarkEnd w:id="87"/>
          </w:p>
        </w:tc>
        <w:tc>
          <w:tcPr>
            <w:tcW w:w="530" w:type="pct"/>
            <w:shd w:val="clear" w:color="auto" w:fill="auto"/>
            <w:vAlign w:val="center"/>
          </w:tcPr>
          <w:p>
            <w:pPr>
              <w:jc w:val="center"/>
              <w:rPr>
                <w:bCs/>
                <w:szCs w:val="21"/>
              </w:rPr>
            </w:pPr>
            <w:bookmarkStart w:id="88" w:name="参照建筑外窗SC－南向"/>
            <w:r>
              <w:rPr>
                <w:rFonts w:hint="eastAsia"/>
                <w:bCs/>
                <w:szCs w:val="21"/>
              </w:rPr>
              <w:t>0.45</w:t>
            </w:r>
            <w:bookmarkEnd w:id="8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 w:type="pct"/>
            <w:vMerge w:val="continue"/>
            <w:shd w:val="clear" w:color="auto" w:fill="E6E6E6"/>
            <w:vAlign w:val="center"/>
          </w:tcPr>
          <w:p>
            <w:pPr>
              <w:jc w:val="center"/>
              <w:rPr>
                <w:bCs/>
                <w:szCs w:val="21"/>
              </w:rPr>
            </w:pPr>
          </w:p>
        </w:tc>
        <w:tc>
          <w:tcPr>
            <w:tcW w:w="841" w:type="pct"/>
            <w:shd w:val="clear" w:color="auto" w:fill="E6E6E6"/>
            <w:vAlign w:val="center"/>
          </w:tcPr>
          <w:p>
            <w:pPr>
              <w:jc w:val="center"/>
              <w:rPr>
                <w:bCs/>
                <w:szCs w:val="21"/>
              </w:rPr>
            </w:pPr>
            <w:r>
              <w:rPr>
                <w:rFonts w:hAnsi="宋体"/>
                <w:bCs/>
                <w:szCs w:val="21"/>
              </w:rPr>
              <w:t>北向</w:t>
            </w:r>
          </w:p>
        </w:tc>
        <w:tc>
          <w:tcPr>
            <w:tcW w:w="571" w:type="pct"/>
            <w:shd w:val="clear" w:color="auto" w:fill="auto"/>
            <w:vAlign w:val="center"/>
          </w:tcPr>
          <w:p>
            <w:pPr>
              <w:jc w:val="center"/>
              <w:rPr>
                <w:bCs/>
                <w:szCs w:val="21"/>
              </w:rPr>
            </w:pPr>
            <w:bookmarkStart w:id="89" w:name="窗墙比－北向"/>
            <w:r>
              <w:rPr>
                <w:rFonts w:hint="eastAsia"/>
                <w:bCs/>
                <w:szCs w:val="21"/>
              </w:rPr>
              <w:t>0.04</w:t>
            </w:r>
            <w:bookmarkEnd w:id="89"/>
          </w:p>
        </w:tc>
        <w:tc>
          <w:tcPr>
            <w:tcW w:w="561" w:type="pct"/>
            <w:gridSpan w:val="2"/>
            <w:shd w:val="clear" w:color="auto" w:fill="auto"/>
            <w:vAlign w:val="center"/>
          </w:tcPr>
          <w:p>
            <w:pPr>
              <w:jc w:val="center"/>
              <w:rPr>
                <w:bCs/>
                <w:szCs w:val="21"/>
              </w:rPr>
            </w:pPr>
            <w:bookmarkStart w:id="90" w:name="外窗K－北向"/>
            <w:r>
              <w:rPr>
                <w:rFonts w:hint="eastAsia"/>
                <w:bCs/>
                <w:szCs w:val="21"/>
              </w:rPr>
              <w:t>3.90</w:t>
            </w:r>
            <w:bookmarkEnd w:id="90"/>
          </w:p>
        </w:tc>
        <w:tc>
          <w:tcPr>
            <w:tcW w:w="548" w:type="pct"/>
            <w:shd w:val="clear" w:color="auto" w:fill="auto"/>
            <w:vAlign w:val="center"/>
          </w:tcPr>
          <w:p>
            <w:pPr>
              <w:jc w:val="center"/>
              <w:rPr>
                <w:bCs/>
                <w:szCs w:val="21"/>
              </w:rPr>
            </w:pPr>
            <w:bookmarkStart w:id="91" w:name="外窗SC－北向"/>
            <w:r>
              <w:rPr>
                <w:rFonts w:hint="eastAsia"/>
                <w:bCs/>
                <w:szCs w:val="21"/>
              </w:rPr>
              <w:t>0.75</w:t>
            </w:r>
            <w:bookmarkEnd w:id="91"/>
          </w:p>
        </w:tc>
        <w:tc>
          <w:tcPr>
            <w:tcW w:w="492" w:type="pct"/>
            <w:shd w:val="clear" w:color="auto" w:fill="auto"/>
            <w:vAlign w:val="center"/>
          </w:tcPr>
          <w:p>
            <w:pPr>
              <w:jc w:val="center"/>
              <w:rPr>
                <w:bCs/>
                <w:szCs w:val="21"/>
              </w:rPr>
            </w:pPr>
            <w:bookmarkStart w:id="92" w:name="参照建筑窗墙比－北向"/>
            <w:r>
              <w:rPr>
                <w:rFonts w:hint="eastAsia"/>
                <w:bCs/>
                <w:szCs w:val="21"/>
              </w:rPr>
              <w:t>0.04</w:t>
            </w:r>
            <w:bookmarkEnd w:id="92"/>
          </w:p>
        </w:tc>
        <w:tc>
          <w:tcPr>
            <w:tcW w:w="538" w:type="pct"/>
            <w:shd w:val="clear" w:color="auto" w:fill="auto"/>
            <w:vAlign w:val="center"/>
          </w:tcPr>
          <w:p>
            <w:pPr>
              <w:jc w:val="center"/>
              <w:rPr>
                <w:bCs/>
                <w:szCs w:val="21"/>
              </w:rPr>
            </w:pPr>
            <w:bookmarkStart w:id="93" w:name="参照建筑外窗K－北向"/>
            <w:r>
              <w:rPr>
                <w:rFonts w:hint="eastAsia"/>
                <w:bCs/>
                <w:szCs w:val="21"/>
              </w:rPr>
              <w:t>6.50</w:t>
            </w:r>
            <w:bookmarkEnd w:id="93"/>
          </w:p>
        </w:tc>
        <w:tc>
          <w:tcPr>
            <w:tcW w:w="530" w:type="pct"/>
            <w:shd w:val="clear" w:color="auto" w:fill="auto"/>
            <w:vAlign w:val="center"/>
          </w:tcPr>
          <w:p>
            <w:pPr>
              <w:jc w:val="center"/>
              <w:rPr>
                <w:bCs/>
                <w:szCs w:val="21"/>
              </w:rPr>
            </w:pPr>
            <w:bookmarkStart w:id="94" w:name="参照建筑外窗SC－北向"/>
            <w:r>
              <w:rPr>
                <w:rFonts w:hint="eastAsia"/>
                <w:bCs/>
                <w:szCs w:val="21"/>
              </w:rPr>
              <w:t>1.00</w:t>
            </w:r>
            <w:bookmarkEnd w:id="9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 w:type="pct"/>
            <w:vMerge w:val="continue"/>
            <w:shd w:val="clear" w:color="auto" w:fill="E6E6E6"/>
            <w:vAlign w:val="center"/>
          </w:tcPr>
          <w:p>
            <w:pPr>
              <w:jc w:val="center"/>
              <w:rPr>
                <w:bCs/>
                <w:szCs w:val="21"/>
              </w:rPr>
            </w:pPr>
          </w:p>
        </w:tc>
        <w:tc>
          <w:tcPr>
            <w:tcW w:w="841" w:type="pct"/>
            <w:shd w:val="clear" w:color="auto" w:fill="E6E6E6"/>
            <w:vAlign w:val="center"/>
          </w:tcPr>
          <w:p>
            <w:pPr>
              <w:jc w:val="center"/>
              <w:rPr>
                <w:bCs/>
                <w:szCs w:val="21"/>
              </w:rPr>
            </w:pPr>
            <w:r>
              <w:rPr>
                <w:rFonts w:hAnsi="宋体"/>
                <w:bCs/>
                <w:szCs w:val="21"/>
              </w:rPr>
              <w:t>东向</w:t>
            </w:r>
          </w:p>
        </w:tc>
        <w:tc>
          <w:tcPr>
            <w:tcW w:w="571" w:type="pct"/>
            <w:shd w:val="clear" w:color="auto" w:fill="auto"/>
            <w:vAlign w:val="center"/>
          </w:tcPr>
          <w:p>
            <w:pPr>
              <w:jc w:val="center"/>
              <w:rPr>
                <w:bCs/>
                <w:szCs w:val="21"/>
              </w:rPr>
            </w:pPr>
            <w:bookmarkStart w:id="95" w:name="窗墙比－东向"/>
            <w:r>
              <w:rPr>
                <w:rFonts w:hint="eastAsia"/>
                <w:bCs/>
                <w:szCs w:val="21"/>
              </w:rPr>
              <w:t>0.16</w:t>
            </w:r>
            <w:bookmarkEnd w:id="95"/>
          </w:p>
        </w:tc>
        <w:tc>
          <w:tcPr>
            <w:tcW w:w="561" w:type="pct"/>
            <w:gridSpan w:val="2"/>
            <w:shd w:val="clear" w:color="auto" w:fill="auto"/>
            <w:vAlign w:val="center"/>
          </w:tcPr>
          <w:p>
            <w:pPr>
              <w:jc w:val="center"/>
              <w:rPr>
                <w:bCs/>
                <w:szCs w:val="21"/>
              </w:rPr>
            </w:pPr>
            <w:bookmarkStart w:id="96" w:name="外窗K－东向"/>
            <w:r>
              <w:rPr>
                <w:rFonts w:hint="eastAsia"/>
                <w:bCs/>
                <w:szCs w:val="21"/>
              </w:rPr>
              <w:t>3.90</w:t>
            </w:r>
            <w:bookmarkEnd w:id="96"/>
          </w:p>
        </w:tc>
        <w:tc>
          <w:tcPr>
            <w:tcW w:w="548" w:type="pct"/>
            <w:shd w:val="clear" w:color="auto" w:fill="auto"/>
            <w:vAlign w:val="center"/>
          </w:tcPr>
          <w:p>
            <w:pPr>
              <w:jc w:val="center"/>
              <w:rPr>
                <w:bCs/>
                <w:szCs w:val="21"/>
              </w:rPr>
            </w:pPr>
            <w:bookmarkStart w:id="97" w:name="外窗SC－东向"/>
            <w:r>
              <w:rPr>
                <w:rFonts w:hint="eastAsia"/>
                <w:bCs/>
                <w:szCs w:val="21"/>
              </w:rPr>
              <w:t>0.75</w:t>
            </w:r>
            <w:bookmarkEnd w:id="97"/>
          </w:p>
        </w:tc>
        <w:tc>
          <w:tcPr>
            <w:tcW w:w="492" w:type="pct"/>
            <w:shd w:val="clear" w:color="auto" w:fill="auto"/>
            <w:vAlign w:val="center"/>
          </w:tcPr>
          <w:p>
            <w:pPr>
              <w:jc w:val="center"/>
              <w:rPr>
                <w:bCs/>
                <w:szCs w:val="21"/>
              </w:rPr>
            </w:pPr>
            <w:bookmarkStart w:id="98" w:name="参照建筑窗墙比－东向"/>
            <w:r>
              <w:rPr>
                <w:rFonts w:hint="eastAsia"/>
                <w:bCs/>
                <w:szCs w:val="21"/>
              </w:rPr>
              <w:t>0.16</w:t>
            </w:r>
            <w:bookmarkEnd w:id="98"/>
          </w:p>
        </w:tc>
        <w:tc>
          <w:tcPr>
            <w:tcW w:w="538" w:type="pct"/>
            <w:shd w:val="clear" w:color="auto" w:fill="auto"/>
            <w:vAlign w:val="center"/>
          </w:tcPr>
          <w:p>
            <w:pPr>
              <w:jc w:val="center"/>
              <w:rPr>
                <w:bCs/>
                <w:szCs w:val="21"/>
              </w:rPr>
            </w:pPr>
            <w:bookmarkStart w:id="99" w:name="参照建筑外窗K－东向"/>
            <w:r>
              <w:rPr>
                <w:rFonts w:hint="eastAsia"/>
                <w:bCs/>
                <w:szCs w:val="21"/>
              </w:rPr>
              <w:t>6.50</w:t>
            </w:r>
            <w:bookmarkEnd w:id="99"/>
          </w:p>
        </w:tc>
        <w:tc>
          <w:tcPr>
            <w:tcW w:w="530" w:type="pct"/>
            <w:shd w:val="clear" w:color="auto" w:fill="auto"/>
            <w:vAlign w:val="center"/>
          </w:tcPr>
          <w:p>
            <w:pPr>
              <w:jc w:val="center"/>
              <w:rPr>
                <w:bCs/>
                <w:szCs w:val="21"/>
              </w:rPr>
            </w:pPr>
            <w:bookmarkStart w:id="100" w:name="参照建筑外窗SC－东向"/>
            <w:r>
              <w:rPr>
                <w:rFonts w:hint="eastAsia"/>
                <w:bCs/>
                <w:szCs w:val="21"/>
              </w:rPr>
              <w:t>0.70</w:t>
            </w:r>
            <w:bookmarkEnd w:id="10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9" w:type="pct"/>
            <w:vMerge w:val="continue"/>
            <w:shd w:val="clear" w:color="auto" w:fill="E6E6E6"/>
            <w:vAlign w:val="center"/>
          </w:tcPr>
          <w:p>
            <w:pPr>
              <w:jc w:val="center"/>
              <w:rPr>
                <w:bCs/>
                <w:szCs w:val="21"/>
              </w:rPr>
            </w:pPr>
          </w:p>
        </w:tc>
        <w:tc>
          <w:tcPr>
            <w:tcW w:w="841" w:type="pct"/>
            <w:shd w:val="clear" w:color="auto" w:fill="E6E6E6"/>
            <w:vAlign w:val="center"/>
          </w:tcPr>
          <w:p>
            <w:pPr>
              <w:jc w:val="center"/>
              <w:rPr>
                <w:bCs/>
                <w:szCs w:val="21"/>
              </w:rPr>
            </w:pPr>
            <w:r>
              <w:rPr>
                <w:rFonts w:hAnsi="宋体"/>
                <w:bCs/>
                <w:szCs w:val="21"/>
              </w:rPr>
              <w:t>西向</w:t>
            </w:r>
          </w:p>
        </w:tc>
        <w:tc>
          <w:tcPr>
            <w:tcW w:w="571" w:type="pct"/>
            <w:shd w:val="clear" w:color="auto" w:fill="auto"/>
            <w:vAlign w:val="center"/>
          </w:tcPr>
          <w:p>
            <w:pPr>
              <w:jc w:val="center"/>
              <w:rPr>
                <w:bCs/>
                <w:szCs w:val="21"/>
              </w:rPr>
            </w:pPr>
            <w:bookmarkStart w:id="101" w:name="窗墙比－西向"/>
            <w:r>
              <w:rPr>
                <w:rFonts w:hint="eastAsia"/>
                <w:bCs/>
                <w:szCs w:val="21"/>
              </w:rPr>
              <w:t>0.13</w:t>
            </w:r>
            <w:bookmarkEnd w:id="101"/>
          </w:p>
        </w:tc>
        <w:tc>
          <w:tcPr>
            <w:tcW w:w="561" w:type="pct"/>
            <w:gridSpan w:val="2"/>
            <w:shd w:val="clear" w:color="auto" w:fill="auto"/>
            <w:vAlign w:val="center"/>
          </w:tcPr>
          <w:p>
            <w:pPr>
              <w:jc w:val="center"/>
              <w:rPr>
                <w:bCs/>
                <w:szCs w:val="21"/>
              </w:rPr>
            </w:pPr>
            <w:bookmarkStart w:id="102" w:name="外窗K－西向"/>
            <w:r>
              <w:rPr>
                <w:rFonts w:hint="eastAsia"/>
                <w:bCs/>
                <w:szCs w:val="21"/>
              </w:rPr>
              <w:t>3.90</w:t>
            </w:r>
            <w:bookmarkEnd w:id="102"/>
          </w:p>
        </w:tc>
        <w:tc>
          <w:tcPr>
            <w:tcW w:w="548" w:type="pct"/>
            <w:shd w:val="clear" w:color="auto" w:fill="auto"/>
            <w:vAlign w:val="center"/>
          </w:tcPr>
          <w:p>
            <w:pPr>
              <w:jc w:val="center"/>
              <w:rPr>
                <w:bCs/>
                <w:szCs w:val="21"/>
              </w:rPr>
            </w:pPr>
            <w:bookmarkStart w:id="103" w:name="外窗SC－西向"/>
            <w:r>
              <w:rPr>
                <w:rFonts w:hint="eastAsia"/>
                <w:bCs/>
                <w:szCs w:val="21"/>
              </w:rPr>
              <w:t>0.75</w:t>
            </w:r>
            <w:bookmarkEnd w:id="103"/>
          </w:p>
        </w:tc>
        <w:tc>
          <w:tcPr>
            <w:tcW w:w="492" w:type="pct"/>
            <w:shd w:val="clear" w:color="auto" w:fill="auto"/>
            <w:vAlign w:val="center"/>
          </w:tcPr>
          <w:p>
            <w:pPr>
              <w:jc w:val="center"/>
              <w:rPr>
                <w:bCs/>
                <w:szCs w:val="21"/>
              </w:rPr>
            </w:pPr>
            <w:bookmarkStart w:id="104" w:name="参照建筑窗墙比－西向"/>
            <w:r>
              <w:rPr>
                <w:rFonts w:hint="eastAsia"/>
                <w:bCs/>
                <w:szCs w:val="21"/>
              </w:rPr>
              <w:t>0.13</w:t>
            </w:r>
            <w:bookmarkEnd w:id="104"/>
          </w:p>
        </w:tc>
        <w:tc>
          <w:tcPr>
            <w:tcW w:w="538" w:type="pct"/>
            <w:shd w:val="clear" w:color="auto" w:fill="auto"/>
            <w:vAlign w:val="center"/>
          </w:tcPr>
          <w:p>
            <w:pPr>
              <w:jc w:val="center"/>
              <w:rPr>
                <w:bCs/>
                <w:szCs w:val="21"/>
              </w:rPr>
            </w:pPr>
            <w:bookmarkStart w:id="105" w:name="参照建筑外窗K－西向"/>
            <w:r>
              <w:rPr>
                <w:rFonts w:hint="eastAsia"/>
                <w:bCs/>
                <w:szCs w:val="21"/>
              </w:rPr>
              <w:t>6.50</w:t>
            </w:r>
            <w:bookmarkEnd w:id="105"/>
          </w:p>
        </w:tc>
        <w:tc>
          <w:tcPr>
            <w:tcW w:w="530" w:type="pct"/>
            <w:shd w:val="clear" w:color="auto" w:fill="auto"/>
            <w:vAlign w:val="center"/>
          </w:tcPr>
          <w:p>
            <w:pPr>
              <w:jc w:val="center"/>
              <w:rPr>
                <w:bCs/>
                <w:szCs w:val="21"/>
              </w:rPr>
            </w:pPr>
            <w:bookmarkStart w:id="106" w:name="参照建筑外窗SC－西向"/>
            <w:r>
              <w:rPr>
                <w:rFonts w:hint="eastAsia"/>
                <w:bCs/>
                <w:szCs w:val="21"/>
              </w:rPr>
              <w:t>1.00</w:t>
            </w:r>
            <w:bookmarkEnd w:id="10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9" w:type="pct"/>
            <w:vMerge w:val="restart"/>
            <w:shd w:val="clear" w:color="auto" w:fill="E6E6E6"/>
            <w:vAlign w:val="center"/>
          </w:tcPr>
          <w:p>
            <w:r>
              <w:rPr>
                <w:rFonts w:hint="eastAsia"/>
                <w:bCs/>
                <w:szCs w:val="21"/>
              </w:rPr>
              <w:t>外门，阳台门不透明部分</w:t>
            </w:r>
          </w:p>
        </w:tc>
        <w:tc>
          <w:tcPr>
            <w:tcW w:w="841" w:type="pct"/>
            <w:shd w:val="clear" w:color="auto" w:fill="E6E6E6"/>
            <w:vAlign w:val="center"/>
          </w:tcPr>
          <w:p>
            <w:pPr>
              <w:jc w:val="center"/>
              <w:rPr>
                <w:bCs/>
                <w:szCs w:val="21"/>
              </w:rPr>
            </w:pPr>
            <w:r>
              <w:rPr>
                <w:rFonts w:hint="eastAsia"/>
                <w:bCs/>
                <w:szCs w:val="21"/>
              </w:rPr>
              <w:t>朝向</w:t>
            </w:r>
          </w:p>
        </w:tc>
        <w:tc>
          <w:tcPr>
            <w:tcW w:w="571" w:type="pct"/>
            <w:shd w:val="clear" w:color="auto" w:fill="E6E6E6"/>
            <w:vAlign w:val="center"/>
          </w:tcPr>
          <w:p>
            <w:pPr>
              <w:jc w:val="center"/>
            </w:pPr>
            <w:r>
              <w:rPr>
                <w:rFonts w:hint="eastAsia"/>
                <w:bCs/>
                <w:szCs w:val="21"/>
              </w:rPr>
              <w:t>传热系数</w:t>
            </w:r>
          </w:p>
        </w:tc>
        <w:tc>
          <w:tcPr>
            <w:tcW w:w="557" w:type="pct"/>
            <w:shd w:val="clear" w:color="auto" w:fill="E6E6E6"/>
            <w:vAlign w:val="center"/>
          </w:tcPr>
          <w:p>
            <w:pPr>
              <w:jc w:val="center"/>
            </w:pPr>
            <w:r>
              <w:rPr>
                <w:rFonts w:hint="eastAsia"/>
                <w:bCs/>
                <w:szCs w:val="21"/>
              </w:rPr>
              <w:t>太阳辐射吸收系数</w:t>
            </w:r>
          </w:p>
        </w:tc>
        <w:tc>
          <w:tcPr>
            <w:tcW w:w="552" w:type="pct"/>
            <w:gridSpan w:val="2"/>
            <w:shd w:val="clear" w:color="auto" w:fill="E6E6E6"/>
            <w:vAlign w:val="center"/>
          </w:tcPr>
          <w:p>
            <w:pPr>
              <w:jc w:val="center"/>
            </w:pPr>
            <w:r>
              <w:rPr>
                <w:rFonts w:hint="eastAsia"/>
                <w:bCs/>
                <w:szCs w:val="21"/>
              </w:rPr>
              <w:t>遮阳系数</w:t>
            </w:r>
          </w:p>
        </w:tc>
        <w:tc>
          <w:tcPr>
            <w:tcW w:w="492" w:type="pct"/>
            <w:shd w:val="clear" w:color="auto" w:fill="E6E6E6"/>
            <w:vAlign w:val="center"/>
          </w:tcPr>
          <w:p>
            <w:pPr>
              <w:jc w:val="center"/>
              <w:rPr>
                <w:bCs/>
                <w:szCs w:val="21"/>
              </w:rPr>
            </w:pPr>
            <w:r>
              <w:rPr>
                <w:rFonts w:hint="eastAsia"/>
                <w:bCs/>
                <w:szCs w:val="21"/>
              </w:rPr>
              <w:t>传热系数</w:t>
            </w:r>
          </w:p>
        </w:tc>
        <w:tc>
          <w:tcPr>
            <w:tcW w:w="538" w:type="pct"/>
            <w:shd w:val="clear" w:color="auto" w:fill="E6E6E6"/>
            <w:vAlign w:val="center"/>
          </w:tcPr>
          <w:p>
            <w:pPr>
              <w:jc w:val="center"/>
              <w:rPr>
                <w:bCs/>
                <w:szCs w:val="21"/>
              </w:rPr>
            </w:pPr>
            <w:r>
              <w:rPr>
                <w:rFonts w:hint="eastAsia"/>
                <w:bCs/>
                <w:szCs w:val="21"/>
              </w:rPr>
              <w:t>太阳辐射吸收系数</w:t>
            </w:r>
          </w:p>
        </w:tc>
        <w:tc>
          <w:tcPr>
            <w:tcW w:w="530" w:type="pct"/>
            <w:shd w:val="clear" w:color="auto" w:fill="E6E6E6"/>
            <w:vAlign w:val="center"/>
          </w:tcPr>
          <w:p>
            <w:pPr>
              <w:jc w:val="center"/>
              <w:rPr>
                <w:bCs/>
                <w:szCs w:val="21"/>
              </w:rPr>
            </w:pPr>
            <w:r>
              <w:rPr>
                <w:rFonts w:hint="eastAsia"/>
                <w:bCs/>
                <w:szCs w:val="21"/>
              </w:rPr>
              <w:t>遮阳系数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9" w:type="pct"/>
            <w:vMerge w:val="continue"/>
            <w:shd w:val="clear" w:color="auto" w:fill="E6E6E6"/>
            <w:vAlign w:val="center"/>
          </w:tcPr>
          <w:p/>
        </w:tc>
        <w:tc>
          <w:tcPr>
            <w:tcW w:w="841" w:type="pct"/>
            <w:shd w:val="clear" w:color="auto" w:fill="E6E6E6"/>
            <w:vAlign w:val="center"/>
          </w:tcPr>
          <w:p>
            <w:pPr>
              <w:jc w:val="center"/>
              <w:rPr>
                <w:rFonts w:hAnsi="宋体"/>
                <w:bCs/>
                <w:szCs w:val="21"/>
              </w:rPr>
            </w:pPr>
            <w:r>
              <w:rPr>
                <w:rFonts w:hAnsi="宋体"/>
                <w:bCs/>
                <w:szCs w:val="21"/>
              </w:rPr>
              <w:t>南向</w:t>
            </w:r>
          </w:p>
        </w:tc>
        <w:tc>
          <w:tcPr>
            <w:tcW w:w="571" w:type="pct"/>
            <w:shd w:val="clear" w:color="auto" w:fill="auto"/>
            <w:vAlign w:val="center"/>
          </w:tcPr>
          <w:p>
            <w:pPr>
              <w:jc w:val="center"/>
              <w:rPr>
                <w:bCs/>
                <w:szCs w:val="21"/>
              </w:rPr>
            </w:pPr>
            <w:bookmarkStart w:id="107" w:name="外门阳台门K－南向"/>
            <w:r>
              <w:rPr>
                <w:rFonts w:hint="eastAsia"/>
                <w:bCs/>
                <w:szCs w:val="21"/>
              </w:rPr>
              <w:t>1.97</w:t>
            </w:r>
            <w:bookmarkEnd w:id="107"/>
          </w:p>
        </w:tc>
        <w:tc>
          <w:tcPr>
            <w:tcW w:w="557" w:type="pct"/>
            <w:shd w:val="clear" w:color="auto" w:fill="auto"/>
            <w:vAlign w:val="center"/>
          </w:tcPr>
          <w:p>
            <w:pPr>
              <w:jc w:val="center"/>
              <w:rPr>
                <w:bCs/>
                <w:szCs w:val="21"/>
              </w:rPr>
            </w:pPr>
            <w:bookmarkStart w:id="108" w:name="外门阳台门P－南向"/>
            <w:r>
              <w:rPr>
                <w:rFonts w:hint="eastAsia"/>
                <w:bCs/>
                <w:szCs w:val="21"/>
              </w:rPr>
              <w:t>0.75</w:t>
            </w:r>
            <w:bookmarkEnd w:id="108"/>
          </w:p>
        </w:tc>
        <w:tc>
          <w:tcPr>
            <w:tcW w:w="552" w:type="pct"/>
            <w:gridSpan w:val="2"/>
            <w:shd w:val="clear" w:color="auto" w:fill="auto"/>
            <w:vAlign w:val="center"/>
          </w:tcPr>
          <w:p>
            <w:pPr>
              <w:jc w:val="center"/>
              <w:rPr>
                <w:bCs/>
                <w:szCs w:val="21"/>
              </w:rPr>
            </w:pPr>
            <w:bookmarkStart w:id="109" w:name="外门阳台门SC－南向"/>
            <w:r>
              <w:rPr>
                <w:rFonts w:hint="eastAsia"/>
                <w:bCs/>
                <w:szCs w:val="21"/>
              </w:rPr>
              <w:t>0.09</w:t>
            </w:r>
            <w:bookmarkEnd w:id="109"/>
          </w:p>
        </w:tc>
        <w:tc>
          <w:tcPr>
            <w:tcW w:w="492" w:type="pct"/>
            <w:shd w:val="clear" w:color="auto" w:fill="auto"/>
            <w:vAlign w:val="center"/>
          </w:tcPr>
          <w:p>
            <w:pPr>
              <w:jc w:val="center"/>
              <w:rPr>
                <w:bCs/>
                <w:szCs w:val="21"/>
              </w:rPr>
            </w:pPr>
            <w:bookmarkStart w:id="110" w:name="参照建筑外门阳台门K－南向"/>
            <w:r>
              <w:rPr>
                <w:rFonts w:hint="eastAsia"/>
                <w:bCs/>
                <w:szCs w:val="21"/>
              </w:rPr>
              <w:t>1.97</w:t>
            </w:r>
            <w:bookmarkEnd w:id="110"/>
          </w:p>
        </w:tc>
        <w:tc>
          <w:tcPr>
            <w:tcW w:w="538" w:type="pct"/>
            <w:shd w:val="clear" w:color="auto" w:fill="auto"/>
            <w:vAlign w:val="center"/>
          </w:tcPr>
          <w:p>
            <w:pPr>
              <w:jc w:val="center"/>
              <w:rPr>
                <w:bCs/>
                <w:szCs w:val="21"/>
              </w:rPr>
            </w:pPr>
            <w:bookmarkStart w:id="111" w:name="参照建筑外门阳台门P－南向"/>
            <w:r>
              <w:rPr>
                <w:rFonts w:hint="eastAsia"/>
                <w:bCs/>
                <w:szCs w:val="21"/>
              </w:rPr>
              <w:t>0.75</w:t>
            </w:r>
            <w:bookmarkEnd w:id="111"/>
          </w:p>
        </w:tc>
        <w:tc>
          <w:tcPr>
            <w:tcW w:w="530" w:type="pct"/>
            <w:shd w:val="clear" w:color="auto" w:fill="auto"/>
            <w:vAlign w:val="center"/>
          </w:tcPr>
          <w:p>
            <w:pPr>
              <w:jc w:val="center"/>
              <w:rPr>
                <w:bCs/>
                <w:szCs w:val="21"/>
              </w:rPr>
            </w:pPr>
            <w:bookmarkStart w:id="112" w:name="参照建筑外门阳台门SC－南向"/>
            <w:r>
              <w:rPr>
                <w:rFonts w:hint="eastAsia"/>
                <w:bCs/>
                <w:szCs w:val="21"/>
              </w:rPr>
              <w:t>0.09</w:t>
            </w:r>
            <w:bookmarkEnd w:id="1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9" w:type="pct"/>
            <w:vMerge w:val="continue"/>
            <w:shd w:val="clear" w:color="auto" w:fill="E6E6E6"/>
            <w:vAlign w:val="center"/>
          </w:tcPr>
          <w:p/>
        </w:tc>
        <w:tc>
          <w:tcPr>
            <w:tcW w:w="841" w:type="pct"/>
            <w:shd w:val="clear" w:color="auto" w:fill="E6E6E6"/>
            <w:vAlign w:val="center"/>
          </w:tcPr>
          <w:p>
            <w:pPr>
              <w:jc w:val="center"/>
              <w:rPr>
                <w:bCs/>
                <w:szCs w:val="21"/>
              </w:rPr>
            </w:pPr>
            <w:r>
              <w:rPr>
                <w:rFonts w:hAnsi="宋体"/>
                <w:bCs/>
                <w:szCs w:val="21"/>
              </w:rPr>
              <w:t>北向</w:t>
            </w:r>
          </w:p>
        </w:tc>
        <w:tc>
          <w:tcPr>
            <w:tcW w:w="571" w:type="pct"/>
            <w:shd w:val="clear" w:color="auto" w:fill="auto"/>
            <w:vAlign w:val="center"/>
          </w:tcPr>
          <w:p>
            <w:pPr>
              <w:jc w:val="center"/>
              <w:rPr>
                <w:bCs/>
                <w:szCs w:val="21"/>
              </w:rPr>
            </w:pPr>
            <w:bookmarkStart w:id="113" w:name="外门阳台门K－北向"/>
            <w:r>
              <w:rPr>
                <w:rFonts w:hint="eastAsia"/>
                <w:bCs/>
                <w:szCs w:val="21"/>
              </w:rPr>
              <w:t>－</w:t>
            </w:r>
            <w:bookmarkEnd w:id="113"/>
          </w:p>
        </w:tc>
        <w:tc>
          <w:tcPr>
            <w:tcW w:w="557" w:type="pct"/>
            <w:shd w:val="clear" w:color="auto" w:fill="auto"/>
            <w:vAlign w:val="center"/>
          </w:tcPr>
          <w:p>
            <w:pPr>
              <w:jc w:val="center"/>
              <w:rPr>
                <w:bCs/>
                <w:szCs w:val="21"/>
              </w:rPr>
            </w:pPr>
            <w:bookmarkStart w:id="114" w:name="外门阳台门P－北向"/>
            <w:r>
              <w:rPr>
                <w:rFonts w:hint="eastAsia"/>
                <w:bCs/>
                <w:szCs w:val="21"/>
              </w:rPr>
              <w:t>－</w:t>
            </w:r>
            <w:bookmarkEnd w:id="114"/>
          </w:p>
        </w:tc>
        <w:tc>
          <w:tcPr>
            <w:tcW w:w="552" w:type="pct"/>
            <w:gridSpan w:val="2"/>
            <w:shd w:val="clear" w:color="auto" w:fill="auto"/>
            <w:vAlign w:val="center"/>
          </w:tcPr>
          <w:p>
            <w:pPr>
              <w:jc w:val="center"/>
              <w:rPr>
                <w:bCs/>
                <w:szCs w:val="21"/>
              </w:rPr>
            </w:pPr>
            <w:bookmarkStart w:id="115" w:name="外门阳台门SC－北向"/>
            <w:r>
              <w:rPr>
                <w:rFonts w:hint="eastAsia"/>
                <w:bCs/>
                <w:szCs w:val="21"/>
              </w:rPr>
              <w:t>－</w:t>
            </w:r>
            <w:bookmarkEnd w:id="115"/>
          </w:p>
        </w:tc>
        <w:tc>
          <w:tcPr>
            <w:tcW w:w="492" w:type="pct"/>
            <w:shd w:val="clear" w:color="auto" w:fill="auto"/>
            <w:vAlign w:val="center"/>
          </w:tcPr>
          <w:p>
            <w:pPr>
              <w:jc w:val="center"/>
              <w:rPr>
                <w:bCs/>
                <w:szCs w:val="21"/>
              </w:rPr>
            </w:pPr>
            <w:bookmarkStart w:id="116" w:name="参照建筑外门阳台门K－北向"/>
            <w:r>
              <w:rPr>
                <w:rFonts w:hint="eastAsia"/>
                <w:bCs/>
                <w:szCs w:val="21"/>
              </w:rPr>
              <w:t>－</w:t>
            </w:r>
            <w:bookmarkEnd w:id="116"/>
          </w:p>
        </w:tc>
        <w:tc>
          <w:tcPr>
            <w:tcW w:w="538" w:type="pct"/>
            <w:shd w:val="clear" w:color="auto" w:fill="auto"/>
            <w:vAlign w:val="center"/>
          </w:tcPr>
          <w:p>
            <w:pPr>
              <w:jc w:val="center"/>
              <w:rPr>
                <w:bCs/>
                <w:szCs w:val="21"/>
              </w:rPr>
            </w:pPr>
            <w:bookmarkStart w:id="117" w:name="参照建筑外门阳台门P－北向"/>
            <w:r>
              <w:rPr>
                <w:rFonts w:hint="eastAsia"/>
                <w:bCs/>
                <w:szCs w:val="21"/>
              </w:rPr>
              <w:t>－</w:t>
            </w:r>
            <w:bookmarkEnd w:id="117"/>
          </w:p>
        </w:tc>
        <w:tc>
          <w:tcPr>
            <w:tcW w:w="530" w:type="pct"/>
            <w:shd w:val="clear" w:color="auto" w:fill="auto"/>
            <w:vAlign w:val="center"/>
          </w:tcPr>
          <w:p>
            <w:pPr>
              <w:jc w:val="center"/>
              <w:rPr>
                <w:bCs/>
                <w:szCs w:val="21"/>
              </w:rPr>
            </w:pPr>
            <w:bookmarkStart w:id="118" w:name="参照建筑外门阳台门SC－北向"/>
            <w:r>
              <w:rPr>
                <w:rFonts w:hint="eastAsia"/>
                <w:bCs/>
                <w:szCs w:val="21"/>
              </w:rPr>
              <w:t>－</w:t>
            </w:r>
            <w:bookmarkEnd w:id="1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9" w:type="pct"/>
            <w:vMerge w:val="continue"/>
            <w:shd w:val="clear" w:color="auto" w:fill="E6E6E6"/>
            <w:vAlign w:val="center"/>
          </w:tcPr>
          <w:p/>
        </w:tc>
        <w:tc>
          <w:tcPr>
            <w:tcW w:w="841" w:type="pct"/>
            <w:shd w:val="clear" w:color="auto" w:fill="E6E6E6"/>
            <w:vAlign w:val="center"/>
          </w:tcPr>
          <w:p>
            <w:pPr>
              <w:jc w:val="center"/>
              <w:rPr>
                <w:bCs/>
                <w:szCs w:val="21"/>
              </w:rPr>
            </w:pPr>
            <w:r>
              <w:rPr>
                <w:rFonts w:hAnsi="宋体"/>
                <w:bCs/>
                <w:szCs w:val="21"/>
              </w:rPr>
              <w:t>东向</w:t>
            </w:r>
          </w:p>
        </w:tc>
        <w:tc>
          <w:tcPr>
            <w:tcW w:w="571" w:type="pct"/>
            <w:shd w:val="clear" w:color="auto" w:fill="auto"/>
            <w:vAlign w:val="center"/>
          </w:tcPr>
          <w:p>
            <w:pPr>
              <w:jc w:val="center"/>
              <w:rPr>
                <w:bCs/>
                <w:szCs w:val="21"/>
              </w:rPr>
            </w:pPr>
            <w:bookmarkStart w:id="119" w:name="外门阳台门K－东向"/>
            <w:r>
              <w:rPr>
                <w:rFonts w:hint="eastAsia"/>
                <w:bCs/>
                <w:szCs w:val="21"/>
              </w:rPr>
              <w:t>－</w:t>
            </w:r>
            <w:bookmarkEnd w:id="119"/>
          </w:p>
        </w:tc>
        <w:tc>
          <w:tcPr>
            <w:tcW w:w="557" w:type="pct"/>
            <w:shd w:val="clear" w:color="auto" w:fill="auto"/>
            <w:vAlign w:val="center"/>
          </w:tcPr>
          <w:p>
            <w:pPr>
              <w:jc w:val="center"/>
              <w:rPr>
                <w:bCs/>
                <w:szCs w:val="21"/>
              </w:rPr>
            </w:pPr>
            <w:bookmarkStart w:id="120" w:name="外门阳台门P－东向"/>
            <w:r>
              <w:rPr>
                <w:rFonts w:hint="eastAsia"/>
                <w:bCs/>
                <w:szCs w:val="21"/>
              </w:rPr>
              <w:t>－</w:t>
            </w:r>
            <w:bookmarkEnd w:id="120"/>
          </w:p>
        </w:tc>
        <w:tc>
          <w:tcPr>
            <w:tcW w:w="552" w:type="pct"/>
            <w:gridSpan w:val="2"/>
            <w:shd w:val="clear" w:color="auto" w:fill="auto"/>
            <w:vAlign w:val="center"/>
          </w:tcPr>
          <w:p>
            <w:pPr>
              <w:jc w:val="center"/>
              <w:rPr>
                <w:bCs/>
                <w:szCs w:val="21"/>
              </w:rPr>
            </w:pPr>
            <w:bookmarkStart w:id="121" w:name="外门阳台门SC－东向"/>
            <w:r>
              <w:rPr>
                <w:rFonts w:hint="eastAsia"/>
                <w:bCs/>
                <w:szCs w:val="21"/>
              </w:rPr>
              <w:t>－</w:t>
            </w:r>
            <w:bookmarkEnd w:id="121"/>
          </w:p>
        </w:tc>
        <w:tc>
          <w:tcPr>
            <w:tcW w:w="492" w:type="pct"/>
            <w:shd w:val="clear" w:color="auto" w:fill="auto"/>
            <w:vAlign w:val="center"/>
          </w:tcPr>
          <w:p>
            <w:pPr>
              <w:jc w:val="center"/>
              <w:rPr>
                <w:bCs/>
                <w:szCs w:val="21"/>
              </w:rPr>
            </w:pPr>
            <w:bookmarkStart w:id="122" w:name="参照建筑外门阳台门K－东向"/>
            <w:r>
              <w:rPr>
                <w:rFonts w:hint="eastAsia"/>
                <w:bCs/>
                <w:szCs w:val="21"/>
              </w:rPr>
              <w:t>－</w:t>
            </w:r>
            <w:bookmarkEnd w:id="122"/>
          </w:p>
        </w:tc>
        <w:tc>
          <w:tcPr>
            <w:tcW w:w="538" w:type="pct"/>
            <w:shd w:val="clear" w:color="auto" w:fill="auto"/>
            <w:vAlign w:val="center"/>
          </w:tcPr>
          <w:p>
            <w:pPr>
              <w:jc w:val="center"/>
              <w:rPr>
                <w:bCs/>
                <w:szCs w:val="21"/>
              </w:rPr>
            </w:pPr>
            <w:bookmarkStart w:id="123" w:name="参照建筑外门阳台门P－东向"/>
            <w:r>
              <w:rPr>
                <w:rFonts w:hint="eastAsia"/>
                <w:bCs/>
                <w:szCs w:val="21"/>
              </w:rPr>
              <w:t>－</w:t>
            </w:r>
            <w:bookmarkEnd w:id="123"/>
          </w:p>
        </w:tc>
        <w:tc>
          <w:tcPr>
            <w:tcW w:w="530" w:type="pct"/>
            <w:shd w:val="clear" w:color="auto" w:fill="auto"/>
            <w:vAlign w:val="center"/>
          </w:tcPr>
          <w:p>
            <w:pPr>
              <w:jc w:val="center"/>
              <w:rPr>
                <w:bCs/>
                <w:szCs w:val="21"/>
              </w:rPr>
            </w:pPr>
            <w:bookmarkStart w:id="124" w:name="参照建筑外门阳台门SC－东向"/>
            <w:r>
              <w:rPr>
                <w:rFonts w:hint="eastAsia"/>
                <w:bCs/>
                <w:szCs w:val="21"/>
              </w:rPr>
              <w:t>－</w:t>
            </w:r>
            <w:bookmarkEnd w:id="1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9" w:type="pct"/>
            <w:vMerge w:val="continue"/>
            <w:shd w:val="clear" w:color="auto" w:fill="E6E6E6"/>
            <w:vAlign w:val="center"/>
          </w:tcPr>
          <w:p/>
        </w:tc>
        <w:tc>
          <w:tcPr>
            <w:tcW w:w="841" w:type="pct"/>
            <w:shd w:val="clear" w:color="auto" w:fill="E6E6E6"/>
            <w:vAlign w:val="center"/>
          </w:tcPr>
          <w:p>
            <w:pPr>
              <w:jc w:val="center"/>
              <w:rPr>
                <w:bCs/>
                <w:szCs w:val="21"/>
              </w:rPr>
            </w:pPr>
            <w:r>
              <w:rPr>
                <w:rFonts w:hAnsi="宋体"/>
                <w:bCs/>
                <w:szCs w:val="21"/>
              </w:rPr>
              <w:t>西向</w:t>
            </w:r>
          </w:p>
        </w:tc>
        <w:tc>
          <w:tcPr>
            <w:tcW w:w="571" w:type="pct"/>
            <w:shd w:val="clear" w:color="auto" w:fill="auto"/>
            <w:vAlign w:val="center"/>
          </w:tcPr>
          <w:p>
            <w:pPr>
              <w:jc w:val="center"/>
              <w:rPr>
                <w:bCs/>
                <w:szCs w:val="21"/>
              </w:rPr>
            </w:pPr>
            <w:bookmarkStart w:id="125" w:name="外门阳台门K－西向"/>
            <w:r>
              <w:rPr>
                <w:rFonts w:hint="eastAsia"/>
                <w:bCs/>
                <w:szCs w:val="21"/>
              </w:rPr>
              <w:t>1.97</w:t>
            </w:r>
            <w:bookmarkEnd w:id="125"/>
          </w:p>
        </w:tc>
        <w:tc>
          <w:tcPr>
            <w:tcW w:w="557" w:type="pct"/>
            <w:shd w:val="clear" w:color="auto" w:fill="auto"/>
            <w:vAlign w:val="center"/>
          </w:tcPr>
          <w:p>
            <w:pPr>
              <w:jc w:val="center"/>
              <w:rPr>
                <w:bCs/>
                <w:szCs w:val="21"/>
              </w:rPr>
            </w:pPr>
            <w:bookmarkStart w:id="126" w:name="外门阳台门P－西向"/>
            <w:r>
              <w:rPr>
                <w:rFonts w:hint="eastAsia"/>
                <w:bCs/>
                <w:szCs w:val="21"/>
              </w:rPr>
              <w:t>0.75</w:t>
            </w:r>
            <w:bookmarkEnd w:id="126"/>
          </w:p>
        </w:tc>
        <w:tc>
          <w:tcPr>
            <w:tcW w:w="552" w:type="pct"/>
            <w:gridSpan w:val="2"/>
            <w:shd w:val="clear" w:color="auto" w:fill="auto"/>
            <w:vAlign w:val="center"/>
          </w:tcPr>
          <w:p>
            <w:pPr>
              <w:jc w:val="center"/>
              <w:rPr>
                <w:bCs/>
                <w:szCs w:val="21"/>
              </w:rPr>
            </w:pPr>
            <w:bookmarkStart w:id="127" w:name="外门阳台门SC－西向"/>
            <w:r>
              <w:rPr>
                <w:rFonts w:hint="eastAsia"/>
                <w:bCs/>
                <w:szCs w:val="21"/>
              </w:rPr>
              <w:t>0.09</w:t>
            </w:r>
            <w:bookmarkEnd w:id="127"/>
          </w:p>
        </w:tc>
        <w:tc>
          <w:tcPr>
            <w:tcW w:w="492" w:type="pct"/>
            <w:shd w:val="clear" w:color="auto" w:fill="auto"/>
            <w:vAlign w:val="center"/>
          </w:tcPr>
          <w:p>
            <w:pPr>
              <w:jc w:val="center"/>
              <w:rPr>
                <w:bCs/>
                <w:szCs w:val="21"/>
              </w:rPr>
            </w:pPr>
            <w:bookmarkStart w:id="128" w:name="参照建筑外门阳台门K－西向"/>
            <w:r>
              <w:rPr>
                <w:rFonts w:hint="eastAsia"/>
                <w:bCs/>
                <w:szCs w:val="21"/>
              </w:rPr>
              <w:t>1.97</w:t>
            </w:r>
            <w:bookmarkEnd w:id="128"/>
          </w:p>
        </w:tc>
        <w:tc>
          <w:tcPr>
            <w:tcW w:w="538" w:type="pct"/>
            <w:shd w:val="clear" w:color="auto" w:fill="auto"/>
            <w:vAlign w:val="center"/>
          </w:tcPr>
          <w:p>
            <w:pPr>
              <w:jc w:val="center"/>
              <w:rPr>
                <w:bCs/>
                <w:szCs w:val="21"/>
              </w:rPr>
            </w:pPr>
            <w:bookmarkStart w:id="129" w:name="参照建筑外门阳台门P－西向"/>
            <w:r>
              <w:rPr>
                <w:rFonts w:hint="eastAsia"/>
                <w:bCs/>
                <w:szCs w:val="21"/>
              </w:rPr>
              <w:t>0.75</w:t>
            </w:r>
            <w:bookmarkEnd w:id="129"/>
          </w:p>
        </w:tc>
        <w:tc>
          <w:tcPr>
            <w:tcW w:w="530" w:type="pct"/>
            <w:shd w:val="clear" w:color="auto" w:fill="auto"/>
            <w:vAlign w:val="center"/>
          </w:tcPr>
          <w:p>
            <w:pPr>
              <w:jc w:val="center"/>
              <w:rPr>
                <w:bCs/>
                <w:szCs w:val="21"/>
              </w:rPr>
            </w:pPr>
            <w:bookmarkStart w:id="130" w:name="参照建筑外门阳台门SC－西向"/>
            <w:r>
              <w:rPr>
                <w:rFonts w:hint="eastAsia"/>
                <w:bCs/>
                <w:szCs w:val="21"/>
              </w:rPr>
              <w:t>0.09</w:t>
            </w:r>
            <w:bookmarkEnd w:id="130"/>
          </w:p>
        </w:tc>
      </w:tr>
      <w:bookmarkEnd w:id="63"/>
    </w:tbl>
    <w:p>
      <w:pPr>
        <w:pStyle w:val="4"/>
        <w:widowControl w:val="0"/>
        <w:jc w:val="both"/>
      </w:pPr>
      <w:bookmarkStart w:id="131" w:name="_Toc4738"/>
      <w:r>
        <w:t>围护结构节能率</w:t>
      </w:r>
      <w:bookmarkEnd w:id="131"/>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bookmarkEnd w:id="64"/>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0"/>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132" w:name="节能率别名"/>
            <w:r>
              <w:rPr>
                <w:rFonts w:hint="eastAsia"/>
                <w:lang w:val="en-US"/>
              </w:rPr>
              <w:t>节能率</w:t>
            </w:r>
            <w:bookmarkEnd w:id="13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133" w:name="耗冷量2"/>
            <w:r>
              <w:rPr>
                <w:rFonts w:hint="eastAsia"/>
                <w:lang w:val="en-US"/>
              </w:rPr>
              <w:t>68.39</w:t>
            </w:r>
            <w:bookmarkEnd w:id="133"/>
          </w:p>
        </w:tc>
        <w:tc>
          <w:tcPr>
            <w:tcW w:w="877" w:type="pct"/>
            <w:vAlign w:val="center"/>
          </w:tcPr>
          <w:p>
            <w:pPr>
              <w:ind w:firstLine="0" w:firstLineChars="0"/>
              <w:jc w:val="center"/>
              <w:rPr>
                <w:lang w:val="en-US"/>
              </w:rPr>
            </w:pPr>
            <w:bookmarkStart w:id="134" w:name="参照建筑耗冷量2"/>
            <w:r>
              <w:rPr>
                <w:rFonts w:hint="eastAsia"/>
                <w:lang w:val="en-US"/>
              </w:rPr>
              <w:t>70.97</w:t>
            </w:r>
            <w:bookmarkEnd w:id="134"/>
          </w:p>
        </w:tc>
        <w:tc>
          <w:tcPr>
            <w:tcW w:w="961" w:type="pct"/>
            <w:vAlign w:val="center"/>
          </w:tcPr>
          <w:p>
            <w:pPr>
              <w:ind w:firstLine="0" w:firstLineChars="0"/>
              <w:jc w:val="center"/>
              <w:rPr>
                <w:lang w:val="en-US"/>
              </w:rPr>
            </w:pPr>
            <w:bookmarkStart w:id="135" w:name="节能率耗冷量2"/>
            <w:r>
              <w:rPr>
                <w:rFonts w:hint="eastAsia"/>
                <w:lang w:val="en-US"/>
              </w:rPr>
              <w:t>3.63%</w:t>
            </w:r>
            <w:bookmarkEnd w:id="1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136" w:name="耗热量2"/>
            <w:r>
              <w:rPr>
                <w:rFonts w:hint="eastAsia"/>
                <w:lang w:val="en-US"/>
              </w:rPr>
              <w:t>-</w:t>
            </w:r>
            <w:bookmarkEnd w:id="136"/>
          </w:p>
        </w:tc>
        <w:tc>
          <w:tcPr>
            <w:tcW w:w="877" w:type="pct"/>
            <w:vAlign w:val="center"/>
          </w:tcPr>
          <w:p>
            <w:pPr>
              <w:ind w:firstLine="0" w:firstLineChars="0"/>
              <w:jc w:val="center"/>
              <w:rPr>
                <w:lang w:val="en-US"/>
              </w:rPr>
            </w:pPr>
            <w:bookmarkStart w:id="137" w:name="参照建筑耗热量2"/>
            <w:r>
              <w:rPr>
                <w:rFonts w:hint="eastAsia"/>
                <w:lang w:val="en-US"/>
              </w:rPr>
              <w:t>-</w:t>
            </w:r>
            <w:bookmarkEnd w:id="137"/>
          </w:p>
        </w:tc>
        <w:tc>
          <w:tcPr>
            <w:tcW w:w="961" w:type="pct"/>
            <w:vAlign w:val="center"/>
          </w:tcPr>
          <w:p>
            <w:pPr>
              <w:ind w:firstLine="0" w:firstLineChars="0"/>
              <w:jc w:val="center"/>
              <w:rPr>
                <w:lang w:val="en-US"/>
              </w:rPr>
            </w:pPr>
            <w:bookmarkStart w:id="138" w:name="节能率耗热量2"/>
            <w:r>
              <w:rPr>
                <w:rFonts w:hint="eastAsia"/>
                <w:lang w:val="en-US"/>
              </w:rPr>
              <w:t>-</w:t>
            </w:r>
            <w:bookmarkEnd w:id="1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139" w:name="耗冷耗热量2"/>
            <w:r>
              <w:rPr>
                <w:rFonts w:hint="eastAsia"/>
                <w:lang w:val="en-US"/>
              </w:rPr>
              <w:t>68.39</w:t>
            </w:r>
            <w:bookmarkEnd w:id="139"/>
          </w:p>
        </w:tc>
        <w:tc>
          <w:tcPr>
            <w:tcW w:w="877" w:type="pct"/>
            <w:vAlign w:val="center"/>
          </w:tcPr>
          <w:p>
            <w:pPr>
              <w:ind w:firstLine="0" w:firstLineChars="0"/>
              <w:jc w:val="center"/>
              <w:rPr>
                <w:lang w:val="en-US"/>
              </w:rPr>
            </w:pPr>
            <w:bookmarkStart w:id="140" w:name="参照建筑耗冷耗热量2"/>
            <w:r>
              <w:rPr>
                <w:rFonts w:hint="eastAsia"/>
                <w:lang w:val="en-US"/>
              </w:rPr>
              <w:t>70.97</w:t>
            </w:r>
            <w:bookmarkEnd w:id="140"/>
          </w:p>
        </w:tc>
        <w:tc>
          <w:tcPr>
            <w:tcW w:w="961" w:type="pct"/>
            <w:vAlign w:val="center"/>
          </w:tcPr>
          <w:p>
            <w:pPr>
              <w:ind w:firstLine="0" w:firstLineChars="0"/>
              <w:jc w:val="center"/>
              <w:rPr>
                <w:lang w:val="en-US"/>
              </w:rPr>
            </w:pPr>
            <w:bookmarkStart w:id="141" w:name="节能率耗冷耗热量2"/>
            <w:r>
              <w:rPr>
                <w:rFonts w:hint="eastAsia"/>
                <w:lang w:val="en-US"/>
              </w:rPr>
              <w:t>3.63%</w:t>
            </w:r>
            <w:bookmarkEnd w:id="14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42" w:name="供冷综合效率折算权重"/>
            <w:r>
              <w:rPr>
                <w:rFonts w:hint="eastAsia"/>
                <w:lang w:val="en-US"/>
              </w:rPr>
              <w:t>2.5</w:t>
            </w:r>
            <w:bookmarkEnd w:id="142"/>
          </w:p>
        </w:tc>
        <w:tc>
          <w:tcPr>
            <w:tcW w:w="877" w:type="pct"/>
            <w:vAlign w:val="center"/>
          </w:tcPr>
          <w:p>
            <w:pPr>
              <w:ind w:firstLine="0" w:firstLineChars="0"/>
              <w:jc w:val="center"/>
              <w:rPr>
                <w:lang w:val="en-US"/>
              </w:rPr>
            </w:pPr>
            <w:bookmarkStart w:id="143" w:name="供冷综合效率折算权重2"/>
            <w:r>
              <w:rPr>
                <w:rFonts w:hint="eastAsia"/>
                <w:lang w:val="en-US"/>
              </w:rPr>
              <w:t>2.5</w:t>
            </w:r>
            <w:bookmarkEnd w:id="143"/>
          </w:p>
        </w:tc>
        <w:tc>
          <w:tcPr>
            <w:tcW w:w="961" w:type="pct"/>
            <w:vMerge w:val="restart"/>
            <w:vAlign w:val="center"/>
          </w:tcPr>
          <w:p>
            <w:pPr>
              <w:ind w:firstLine="0" w:firstLineChars="0"/>
              <w:jc w:val="center"/>
              <w:rPr>
                <w:lang w:val="en-US"/>
              </w:rPr>
            </w:pPr>
            <w:bookmarkStart w:id="144" w:name="节能率空调能耗"/>
            <w:r>
              <w:rPr>
                <w:rFonts w:hint="eastAsia"/>
                <w:lang w:val="en-US"/>
              </w:rPr>
              <w:t>3.63%</w:t>
            </w:r>
            <w:bookmarkEnd w:id="14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145" w:name="空调能耗"/>
            <w:r>
              <w:rPr>
                <w:rFonts w:hint="eastAsia"/>
                <w:lang w:val="en-US"/>
              </w:rPr>
              <w:t>27.36</w:t>
            </w:r>
            <w:bookmarkEnd w:id="145"/>
          </w:p>
        </w:tc>
        <w:tc>
          <w:tcPr>
            <w:tcW w:w="877" w:type="pct"/>
            <w:vAlign w:val="center"/>
          </w:tcPr>
          <w:p>
            <w:pPr>
              <w:ind w:firstLine="0" w:firstLineChars="0"/>
              <w:jc w:val="center"/>
              <w:rPr>
                <w:lang w:val="en-US"/>
              </w:rPr>
            </w:pPr>
            <w:bookmarkStart w:id="146" w:name="参照建筑空调能耗"/>
            <w:r>
              <w:rPr>
                <w:rFonts w:hint="eastAsia"/>
                <w:lang w:val="en-US"/>
              </w:rPr>
              <w:t>28.39</w:t>
            </w:r>
            <w:bookmarkEnd w:id="146"/>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47" w:name="供暖综合效率折算权重"/>
            <w:r>
              <w:rPr>
                <w:rFonts w:hint="eastAsia"/>
                <w:lang w:val="en-US"/>
              </w:rPr>
              <w:t>2.2</w:t>
            </w:r>
            <w:bookmarkEnd w:id="147"/>
          </w:p>
        </w:tc>
        <w:tc>
          <w:tcPr>
            <w:tcW w:w="877" w:type="pct"/>
            <w:vAlign w:val="center"/>
          </w:tcPr>
          <w:p>
            <w:pPr>
              <w:ind w:firstLine="0" w:firstLineChars="0"/>
              <w:jc w:val="center"/>
              <w:rPr>
                <w:lang w:val="en-US"/>
              </w:rPr>
            </w:pPr>
            <w:bookmarkStart w:id="148" w:name="供暖综合效率折算权重2"/>
            <w:r>
              <w:rPr>
                <w:rFonts w:hint="eastAsia"/>
                <w:lang w:val="en-US"/>
              </w:rPr>
              <w:t>2.2</w:t>
            </w:r>
            <w:bookmarkEnd w:id="148"/>
          </w:p>
        </w:tc>
        <w:tc>
          <w:tcPr>
            <w:tcW w:w="961" w:type="pct"/>
            <w:vMerge w:val="restart"/>
            <w:vAlign w:val="center"/>
          </w:tcPr>
          <w:p>
            <w:pPr>
              <w:ind w:firstLine="0" w:firstLineChars="0"/>
              <w:jc w:val="center"/>
              <w:rPr>
                <w:lang w:val="en-US"/>
              </w:rPr>
            </w:pPr>
            <w:bookmarkStart w:id="149" w:name="节能率供暖能耗"/>
            <w:r>
              <w:rPr>
                <w:rFonts w:hint="eastAsia"/>
                <w:lang w:val="en-US"/>
              </w:rPr>
              <w:t>-</w:t>
            </w:r>
            <w:bookmarkEnd w:id="1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bookmarkStart w:id="150" w:name="供暖能耗"/>
            <w:r>
              <w:rPr>
                <w:rFonts w:hint="eastAsia"/>
                <w:lang w:val="en-US"/>
              </w:rPr>
              <w:t>-</w:t>
            </w:r>
            <w:bookmarkEnd w:id="150"/>
          </w:p>
        </w:tc>
        <w:tc>
          <w:tcPr>
            <w:tcW w:w="877" w:type="pct"/>
            <w:vAlign w:val="center"/>
          </w:tcPr>
          <w:p>
            <w:pPr>
              <w:ind w:firstLine="0" w:firstLineChars="0"/>
              <w:jc w:val="center"/>
              <w:rPr>
                <w:lang w:val="en-US"/>
              </w:rPr>
            </w:pPr>
            <w:bookmarkStart w:id="151" w:name="参照建筑供暖能耗"/>
            <w:r>
              <w:rPr>
                <w:rFonts w:hint="eastAsia"/>
                <w:lang w:val="en-US"/>
              </w:rPr>
              <w:t>-</w:t>
            </w:r>
            <w:bookmarkEnd w:id="151"/>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52" w:name="空调供暖能耗"/>
            <w:r>
              <w:rPr>
                <w:rFonts w:hint="eastAsia"/>
                <w:lang w:val="en-US"/>
              </w:rPr>
              <w:t>27.36</w:t>
            </w:r>
            <w:bookmarkEnd w:id="152"/>
          </w:p>
        </w:tc>
        <w:tc>
          <w:tcPr>
            <w:tcW w:w="877" w:type="pct"/>
            <w:vAlign w:val="center"/>
          </w:tcPr>
          <w:p>
            <w:pPr>
              <w:ind w:firstLine="0" w:firstLineChars="0"/>
              <w:jc w:val="center"/>
              <w:rPr>
                <w:lang w:val="en-US"/>
              </w:rPr>
            </w:pPr>
            <w:bookmarkStart w:id="153" w:name="参照建筑空调供暖能耗"/>
            <w:r>
              <w:rPr>
                <w:rFonts w:hint="eastAsia"/>
                <w:lang w:val="en-US"/>
              </w:rPr>
              <w:t>28.39</w:t>
            </w:r>
            <w:bookmarkEnd w:id="153"/>
          </w:p>
        </w:tc>
        <w:tc>
          <w:tcPr>
            <w:tcW w:w="961" w:type="pct"/>
            <w:vAlign w:val="center"/>
          </w:tcPr>
          <w:p>
            <w:pPr>
              <w:ind w:firstLine="0" w:firstLineChars="0"/>
              <w:jc w:val="center"/>
              <w:rPr>
                <w:lang w:val="en-US"/>
              </w:rPr>
            </w:pPr>
            <w:bookmarkStart w:id="154" w:name="节能率空调供暖能耗"/>
            <w:r>
              <w:rPr>
                <w:rFonts w:hint="eastAsia"/>
                <w:lang w:val="en-US"/>
              </w:rPr>
              <w:t>3.63%</w:t>
            </w:r>
            <w:bookmarkEnd w:id="154"/>
          </w:p>
        </w:tc>
      </w:tr>
    </w:tbl>
    <w:p>
      <w:pPr>
        <w:ind w:firstLine="0" w:firstLineChars="0"/>
        <w:jc w:val="center"/>
        <w:rPr>
          <w:sz w:val="20"/>
          <w:lang w:val="en-US"/>
        </w:rPr>
      </w:pPr>
    </w:p>
    <w:p>
      <w:pPr>
        <w:widowControl w:val="0"/>
        <w:jc w:val="both"/>
      </w:pPr>
    </w:p>
    <w:p>
      <w:pPr>
        <w:pStyle w:val="2"/>
        <w:widowControl w:val="0"/>
        <w:jc w:val="both"/>
      </w:pPr>
      <w:bookmarkStart w:id="155" w:name="_Toc15568"/>
      <w:r>
        <w:t>绿色建筑性能评估得分</w:t>
      </w:r>
      <w:bookmarkEnd w:id="155"/>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56" w:name="节能率计算目标"/>
            <w:r>
              <w:t>3.63%</w:t>
            </w:r>
            <w:bookmarkEnd w:id="156"/>
          </w:p>
        </w:tc>
        <w:tc>
          <w:tcPr>
            <w:tcW w:w="706" w:type="dxa"/>
            <w:vAlign w:val="center"/>
          </w:tcPr>
          <w:p>
            <w:bookmarkStart w:id="157" w:name="得分计算目标"/>
            <w:r>
              <w:t>0</w:t>
            </w:r>
            <w:bookmarkEnd w:id="157"/>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pPr>
    </w:p>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58" w:name="_Toc32755"/>
      <w:r>
        <w:t>附录</w:t>
      </w:r>
      <w:bookmarkEnd w:id="158"/>
    </w:p>
    <w:p>
      <w:pPr>
        <w:pStyle w:val="4"/>
        <w:jc w:val="both"/>
      </w:pPr>
      <w:bookmarkStart w:id="159" w:name="_Toc2319"/>
      <w:r>
        <w:t>工作日/节假日人员逐时在室率(%)</w:t>
      </w:r>
      <w:bookmarkEnd w:id="159"/>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160" w:name="_Toc27678"/>
      <w:r>
        <w:t>工作日/节假日照明开关时间表(%)</w:t>
      </w:r>
      <w:bookmarkEnd w:id="16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61" w:name="_Toc9724"/>
      <w:r>
        <w:t>工作日/节假日设备逐时使用率(%)</w:t>
      </w:r>
      <w:bookmarkEnd w:id="16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ZTA1ZTUxY2I2MTk4NzY2ZjU2MDZjYTFiM2IwMDYifQ=="/>
  </w:docVars>
  <w:rsids>
    <w:rsidRoot w:val="4BE0074A"/>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 w:val="19C704D3"/>
    <w:rsid w:val="4BE00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bmp"/><Relationship Id="rId18" Type="http://schemas.openxmlformats.org/officeDocument/2006/relationships/image" Target="media/image13.bmp"/><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bmp"/><Relationship Id="rId14" Type="http://schemas.openxmlformats.org/officeDocument/2006/relationships/image" Target="media/image9.bmp"/><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15</Pages>
  <Words>3419</Words>
  <Characters>4804</Characters>
  <Lines>47</Lines>
  <Paragraphs>13</Paragraphs>
  <TotalTime>20</TotalTime>
  <ScaleCrop>false</ScaleCrop>
  <LinksUpToDate>false</LinksUpToDate>
  <CharactersWithSpaces>4989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2023-12-20T15:10:00Z</dcterms:created>
  <dc:creator>HOMEWORKSLAYER</dc:creator>
  <cp:lastModifiedBy>HOMEWORKSLAYER</cp:lastModifiedBy>
  <dcterms:modified xsi:type="dcterms:W3CDTF">2024-01-05T14:56:32Z</dcterms:modified>
  <dc:title>围护结构节能率计算书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A14EC95C53034ABB856B4142D0E83EBA_11</vt:lpwstr>
  </property>
  <property fmtid="{D5CDD505-2E9C-101B-9397-08002B2CF9AE}" pid="3" name="KSOProductBuildVer">
    <vt:lpwstr>2052-12.1.0.16120</vt:lpwstr>
  </property>
</Properties>
</file>