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86" w:name="_GoBack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山水之间—上范村乡村低碳宜居建筑设计</w:t>
            </w:r>
            <w:bookmarkEnd w:id="8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江苏-南京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2024年1月8日</w:t>
            </w:r>
            <w:bookmarkEnd w:id="7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T17351010336</w:t>
            </w:r>
            <w:bookmarkEnd w:id="11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bookmarkStart w:id="1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"_Toc155568354"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_Toc155568354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"_Toc155568355"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_Toc155568355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"_Toc155568356"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_Toc155568356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"_Toc155568357"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_Toc155568357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"_Toc155568358"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_Toc155568358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"_Toc155568359"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_Toc155568359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"_Toc155568360"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屋顶构造一</w:t>
      </w:r>
      <w:r>
        <w:tab/>
      </w:r>
      <w:r>
        <w:fldChar w:fldCharType="begin"/>
      </w:r>
      <w:r>
        <w:instrText xml:space="preserve"> PAGEREF _Toc155568360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"_Toc155568361"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_Toc155568361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"_Toc155568362"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_Toc155568362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"_Toc155568363"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_Toc155568363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"_Toc155568364"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外墙构造一</w:t>
      </w:r>
      <w:r>
        <w:tab/>
      </w:r>
      <w:r>
        <w:fldChar w:fldCharType="begin"/>
      </w:r>
      <w:r>
        <w:instrText xml:space="preserve"> PAGEREF _Toc155568364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"_Toc155568365"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_Toc155568365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"_Toc155568366"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_Toc155568366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"_Toc155568367"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_Toc155568367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"_Toc155568368"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_Toc155568368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"_Toc155568369"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_Toc155568369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"_Toc155568370"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_Toc155568370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"_Toc155568371"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_Toc155568371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</w:pPr>
      <w:r>
        <w:fldChar w:fldCharType="begin"/>
      </w:r>
      <w:r>
        <w:instrText xml:space="preserve"> HYPERLINK \l "_Toc155568372"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  <w14:ligatures w14:val="standardContextual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_Toc155568372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480218444"/>
      <w:bookmarkStart w:id="14" w:name="_Toc316568035"/>
      <w:bookmarkStart w:id="15" w:name="_Toc480186122"/>
      <w:bookmarkStart w:id="16" w:name="_Toc155568354"/>
      <w:bookmarkStart w:id="17" w:name="_Toc480186060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地点"/>
            <w:r>
              <w:t>江苏-南京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1" w:name="纬度"/>
            <w:r>
              <w:rPr>
                <w:rFonts w:hint="eastAsia"/>
              </w:rPr>
              <w:t>32.04</w:t>
            </w:r>
            <w:bookmarkEnd w:id="2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2" w:name="经度"/>
            <w:r>
              <w:rPr>
                <w:rFonts w:hint="eastAsia"/>
              </w:rPr>
              <w:t>118.78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3" w:name="气候分区"/>
            <w:r>
              <w:t>夏热冬冷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4" w:name="地上建筑面积"/>
            <w:r>
              <w:rPr>
                <w:rFonts w:hint="eastAsia"/>
              </w:rPr>
              <w:t>1929</w:t>
            </w:r>
            <w:bookmarkEnd w:id="24"/>
            <w:r>
              <w:rPr>
                <w:rFonts w:hint="eastAsia"/>
              </w:rPr>
              <w:t>㎡    地下</w:t>
            </w:r>
            <w:bookmarkStart w:id="25" w:name="地下建筑面积"/>
            <w:r>
              <w:rPr>
                <w:rFonts w:hint="eastAsia"/>
              </w:rPr>
              <w:t>0</w:t>
            </w:r>
            <w:bookmarkEnd w:id="2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6" w:name="地上建筑层数"/>
            <w:r>
              <w:rPr>
                <w:rFonts w:hint="eastAsia"/>
              </w:rPr>
              <w:t>2</w:t>
            </w:r>
            <w:bookmarkEnd w:id="26"/>
            <w:r>
              <w:rPr>
                <w:rFonts w:hint="eastAsia"/>
              </w:rPr>
              <w:t xml:space="preserve">          地下</w:t>
            </w:r>
            <w:bookmarkStart w:id="27" w:name="地下建筑层数"/>
            <w:r>
              <w:t>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8" w:name="地上建筑高度"/>
            <w:r>
              <w:rPr>
                <w:rFonts w:hint="eastAsia"/>
              </w:rPr>
              <w:t>10.8</w:t>
            </w:r>
            <w:bookmarkEnd w:id="2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结构类型"/>
            <w:r>
              <w:t>框架结构</w:t>
            </w:r>
            <w:bookmarkEnd w:id="29"/>
          </w:p>
        </w:tc>
      </w:tr>
      <w:bookmarkEnd w:id="1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_Toc155568355"/>
      <w:bookmarkStart w:id="35" w:name="TitleFormat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4"/>
    </w:p>
    <w:bookmarkEnd w:id="35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公共建筑节能设计标准GB50189-2005（江苏修订版）</w:t>
      </w:r>
      <w:bookmarkEnd w:id="36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</w:t>
      </w:r>
      <w:bookmarkStart w:id="37" w:name="地方绿建评价标准"/>
      <w:r>
        <w:rPr>
          <w:rFonts w:hint="eastAsia"/>
        </w:rPr>
        <w:t>《绿色建筑评价标准》GB/T 50378-2019</w:t>
      </w:r>
      <w:bookmarkEnd w:id="37"/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8" w:name="_Toc480218446"/>
      <w:bookmarkStart w:id="39" w:name="_Toc480186124"/>
      <w:bookmarkStart w:id="40" w:name="_Toc155568356"/>
      <w:bookmarkStart w:id="41" w:name="_Toc480186062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</w:t>
      </w:r>
      <w:bookmarkStart w:id="42" w:name="地方绿建评价标准：1"/>
      <w:r>
        <w:rPr>
          <w:rFonts w:hint="eastAsia"/>
        </w:rPr>
        <w:t>《绿色建筑评价标准》GB/T 50378-2019</w:t>
      </w:r>
      <w:bookmarkEnd w:id="42"/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3" w:name="_Toc480218447"/>
      <w:bookmarkStart w:id="44" w:name="_Toc480186125"/>
      <w:bookmarkStart w:id="45" w:name="_Toc479931706"/>
      <w:bookmarkStart w:id="46" w:name="_Toc480186063"/>
      <w:bookmarkStart w:id="47" w:name="_Toc155568357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6.2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49.8pt;width:162.6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8pt;width:20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4.2pt;width:118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2pt;width:19.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126"/>
      <w:bookmarkStart w:id="49" w:name="_Toc155568358"/>
      <w:bookmarkStart w:id="50" w:name="_Toc480186064"/>
      <w:bookmarkStart w:id="51" w:name="_Toc480218448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</w:p>
    <w:p>
      <w:pPr>
        <w:pStyle w:val="4"/>
        <w:spacing w:line="240" w:lineRule="atLeast"/>
        <w:rPr>
          <w:kern w:val="2"/>
        </w:rPr>
      </w:pPr>
      <w:bookmarkStart w:id="52" w:name="_Toc155568359"/>
      <w:r>
        <w:rPr>
          <w:rFonts w:hint="eastAsia"/>
          <w:kern w:val="2"/>
        </w:rPr>
        <w:t>计算条件</w:t>
      </w:r>
      <w:bookmarkEnd w:id="52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4pt;width:10.2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e_avg"/>
            <w:r>
              <w:rPr>
                <w:rFonts w:hint="eastAsia"/>
              </w:rPr>
              <w:t>3.60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6" w:name="室外相对湿度"/>
            <w:r>
              <w:rPr>
                <w:rFonts w:hint="eastAsia"/>
              </w:rPr>
              <w:t>72.00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7" w:name="Z"/>
            <w:r>
              <w:rPr>
                <w:rFonts w:hint="eastAsia"/>
              </w:rPr>
              <w:t>55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8" w:name="气象数据参考"/>
      <w:bookmarkEnd w:id="58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9" w:name="_Toc155568360"/>
      <w:r>
        <w:rPr>
          <w:rFonts w:hint="eastAsia"/>
          <w:kern w:val="2"/>
        </w:rPr>
        <w:t>屋顶构造一</w:t>
      </w:r>
      <w:bookmarkEnd w:id="5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挤塑聚苯板(XPS)(屋面)</w:t>
            </w:r>
          </w:p>
        </w:tc>
        <w:tc>
          <w:tcPr>
            <w:tcW w:w="848" w:type="dxa"/>
            <w:vAlign w:val="center"/>
          </w:tcPr>
          <w:p>
            <w:r>
              <w:t>63.7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1.25</w:t>
            </w:r>
          </w:p>
        </w:tc>
        <w:tc>
          <w:tcPr>
            <w:tcW w:w="992" w:type="dxa"/>
            <w:vAlign w:val="center"/>
          </w:tcPr>
          <w:p>
            <w:r>
              <w:t>25.00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1.699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0" w:name="_Toc155568361"/>
      <w:r>
        <w:rPr>
          <w:rFonts w:hint="eastAsia"/>
        </w:rPr>
        <w:t>冷凝计算界面至围护结构内表面之间的热阻</w:t>
      </w:r>
      <w:bookmarkEnd w:id="60"/>
      <w:r>
        <w:object>
          <v:shape id="_x0000_i1061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1" w:name="_Toc155568362"/>
      <w:r>
        <w:rPr>
          <w:rFonts w:hint="eastAsia"/>
        </w:rPr>
        <w:t>冷凝计算界面温度</w:t>
      </w:r>
      <w:bookmarkEnd w:id="61"/>
      <w:r>
        <w:rPr>
          <w:position w:val="-6"/>
        </w:rPr>
        <w:object>
          <v:shape id="_x0000_i1063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2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2" w:name="_Toc155568363"/>
      <w:r>
        <w:rPr>
          <w:rStyle w:val="32"/>
          <w:rFonts w:hint="eastAsia"/>
          <w:b/>
          <w:bCs w:val="0"/>
        </w:rPr>
        <w:t>围护结构冷凝受潮验算</w:t>
      </w:r>
      <w:bookmarkEnd w:id="62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8pt;width:22.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8pt;width:22.2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8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8pt;width:20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8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2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8pt;width:13.2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8pt;width:142.2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2pt;width:25.2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3" w:name="_Toc155568364"/>
      <w:r>
        <w:rPr>
          <w:rFonts w:hint="eastAsia"/>
          <w:kern w:val="2"/>
        </w:rPr>
        <w:t>外墙构造一</w:t>
      </w:r>
      <w:bookmarkEnd w:id="6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聚氨酯(外墙外保温)</w:t>
            </w:r>
          </w:p>
        </w:tc>
        <w:tc>
          <w:tcPr>
            <w:tcW w:w="848" w:type="dxa"/>
            <w:vAlign w:val="center"/>
          </w:tcPr>
          <w:p>
            <w:r>
              <w:t>63.6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4" w:name="_Toc155568365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4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5" w:name="_Toc155568366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5"/>
    </w:p>
    <w:p>
      <w:pPr>
        <w:jc w:val="center"/>
      </w:pPr>
      <w:r>
        <w:pict>
          <v:shape id="_x0000_i1094" o:spt="75" type="#_x0000_t75" style="height:33pt;width:112.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66" w:name="_Toc155568367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2pt;width:25.2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7" w:name="构造ID"/>
      <w:bookmarkStart w:id="68" w:name="_Toc155568368"/>
      <w:bookmarkStart w:id="69" w:name="DataTab"/>
      <w:r>
        <w:rPr>
          <w:rFonts w:hint="eastAsia"/>
          <w:kern w:val="2"/>
        </w:rPr>
        <w:t>阳台隔墙构造一</w:t>
      </w:r>
      <w:bookmarkEnd w:id="67"/>
      <w:bookmarkEnd w:id="6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聚氨酯(外墙外保温)</w:t>
            </w:r>
          </w:p>
        </w:tc>
        <w:tc>
          <w:tcPr>
            <w:tcW w:w="848" w:type="dxa"/>
            <w:vAlign w:val="center"/>
          </w:tcPr>
          <w:p>
            <w:r>
              <w:t>63.6</w:t>
            </w:r>
          </w:p>
        </w:tc>
        <w:tc>
          <w:tcPr>
            <w:tcW w:w="1075" w:type="dxa"/>
            <w:vAlign w:val="center"/>
          </w:tcPr>
          <w:p>
            <w:r>
              <w:t>0.024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2.208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钢筋混凝土（1）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70"/>
    </w:tbl>
    <w:p>
      <w:pPr>
        <w:pStyle w:val="3"/>
        <w:ind w:left="1470" w:right="1470"/>
      </w:pPr>
    </w:p>
    <w:p>
      <w:pPr>
        <w:pStyle w:val="5"/>
      </w:pPr>
      <w:bookmarkStart w:id="71" w:name="_Toc155568369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8pt;width:19.2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72" w:name="R_o_i"/>
      <w:r>
        <w:rPr>
          <w:rFonts w:hint="eastAsia"/>
        </w:rPr>
        <w:t>-</w:t>
      </w:r>
      <w:bookmarkEnd w:id="72"/>
    </w:p>
    <w:p>
      <w:pPr>
        <w:pStyle w:val="5"/>
        <w:ind w:right="1470"/>
      </w:pPr>
      <w:bookmarkStart w:id="73" w:name="_Toc155568370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3"/>
    </w:p>
    <w:p>
      <w:pPr>
        <w:jc w:val="center"/>
      </w:pPr>
      <w:r>
        <w:pict>
          <v:shape id="_x0000_i1124" o:spt="75" type="#_x0000_t75" style="height:33pt;width:112.2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8pt;width:13.8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74" w:name="θ_c"/>
      <w:r>
        <w:rPr>
          <w:rFonts w:hint="eastAsia"/>
        </w:rPr>
        <w:t>-</w:t>
      </w:r>
      <w:bookmarkEnd w:id="74"/>
    </w:p>
    <w:p>
      <w:pPr>
        <w:pStyle w:val="5"/>
        <w:ind w:right="1470"/>
      </w:pPr>
      <w:bookmarkStart w:id="75" w:name="_Toc155568371"/>
      <w:r>
        <w:rPr>
          <w:rStyle w:val="32"/>
          <w:rFonts w:hint="eastAsia"/>
          <w:b/>
          <w:bCs w:val="0"/>
        </w:rPr>
        <w:t>围护结构冷凝受潮验算</w:t>
      </w:r>
      <w:bookmarkEnd w:id="75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H_o_i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8pt;width:22.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6.2pt;width:2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6.2pt;width:5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H_o_e"/>
            <w:r>
              <w:rPr>
                <w:rFonts w:hint="eastAsia"/>
              </w:rPr>
              <w:t>-</w:t>
            </w:r>
            <w:bookmarkEnd w:id="7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8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9" w:name="Pe"/>
            <w:r>
              <w:rPr>
                <w:rFonts w:hint="eastAsia"/>
              </w:rPr>
              <w:t>569.23</w:t>
            </w:r>
            <w:bookmarkEnd w:id="7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8pt;width:20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8pt;width:13.8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0" w:name="Psc"/>
            <w:r>
              <w:rPr>
                <w:rFonts w:hint="eastAsia"/>
              </w:rPr>
              <w:t>-</w:t>
            </w:r>
            <w:bookmarkEnd w:id="8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2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1" w:name="ρ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8pt;width:13.2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2" w:name="δi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8pt;width:142.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2pt;width:25.2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3" w:name="ω_l"/>
            <w:r>
              <w:rPr>
                <w:rFonts w:hint="eastAsia"/>
              </w:rPr>
              <w:t>-</w:t>
            </w:r>
            <w:bookmarkEnd w:id="83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>
      <w:pPr>
        <w:widowControl/>
        <w:jc w:val="left"/>
      </w:pPr>
    </w:p>
    <w:bookmarkEnd w:id="69"/>
    <w:p>
      <w:pPr>
        <w:pStyle w:val="2"/>
      </w:pPr>
      <w:bookmarkStart w:id="85" w:name="_Toc155568372"/>
      <w:r>
        <w:t>验算结论</w:t>
      </w:r>
      <w:bookmarkEnd w:id="85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屋顶构造一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外墙构造一</w:t>
            </w:r>
          </w:p>
        </w:tc>
        <w:tc>
          <w:tcPr>
            <w:tcW w:w="1811" w:type="dxa"/>
            <w:vAlign w:val="center"/>
          </w:tcPr>
          <w:p>
            <w:r>
              <w:t>15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zY3Yjk0ZmNkNzBhY2Y0YjVhZGM5Y2M5MjNkYmYifQ=="/>
  </w:docVars>
  <w:rsids>
    <w:rsidRoot w:val="00B155F4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5F4D30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55F4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82A5A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781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autoRedefine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autoRedefine/>
    <w:qFormat/>
    <w:uiPriority w:val="0"/>
    <w:rPr>
      <w:sz w:val="18"/>
      <w:szCs w:val="18"/>
    </w:rPr>
  </w:style>
  <w:style w:type="paragraph" w:styleId="1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uiPriority w:val="0"/>
  </w:style>
  <w:style w:type="character" w:styleId="24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autoRedefine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autoRedefine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autoRedefine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autoRedefine/>
    <w:qFormat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autoRedefine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autoRedefine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autoRedefine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numbering" Target="numbering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33509;&#20961;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Pages>8</Pages>
  <Words>965</Words>
  <Characters>5502</Characters>
  <Lines>45</Lines>
  <Paragraphs>12</Paragraphs>
  <TotalTime>2</TotalTime>
  <ScaleCrop>false</ScaleCrop>
  <LinksUpToDate>false</LinksUpToDate>
  <CharactersWithSpaces>6455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2024-01-07T17:05:00Z</dcterms:created>
  <dc:creator>张若凡</dc:creator>
  <cp:lastModifiedBy>篛凢</cp:lastModifiedBy>
  <dcterms:modified xsi:type="dcterms:W3CDTF">2024-01-09T08:21:28Z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2052-12.1.0.16120</vt:lpwstr>
  </property>
  <property fmtid="{D5CDD505-2E9C-101B-9397-08002B2CF9AE}" pid="4" name="ICV">
    <vt:lpwstr>D0E759FF1C8B4C04BA816AB9FCA64564_12</vt:lpwstr>
  </property>
</Properties>
</file>