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480" w:lineRule="auto"/>
        <w:jc w:val="center"/>
        <w:rPr>
          <w:rFonts w:ascii="楷体_GB2312" w:eastAsia="楷体_GB2312"/>
          <w:b/>
          <w:bCs/>
          <w:spacing w:val="34"/>
          <w:sz w:val="48"/>
          <w:szCs w:val="48"/>
        </w:rPr>
      </w:pPr>
      <w:r>
        <w:rPr>
          <w:rFonts w:hint="eastAsia" w:ascii="楷体_GB2312" w:eastAsia="楷体_GB2312"/>
          <w:b/>
          <w:bCs/>
          <w:spacing w:val="34"/>
          <w:sz w:val="48"/>
          <w:szCs w:val="48"/>
        </w:rPr>
        <w:t>江苏省公共建筑节能设计</w:t>
      </w:r>
    </w:p>
    <w:p>
      <w:pPr>
        <w:spacing w:line="480" w:lineRule="auto"/>
        <w:jc w:val="center"/>
        <w:rPr>
          <w:rFonts w:ascii="楷体_GB2312" w:eastAsia="楷体_GB2312"/>
          <w:b/>
          <w:bCs/>
          <w:spacing w:val="34"/>
          <w:sz w:val="48"/>
          <w:szCs w:val="48"/>
        </w:rPr>
      </w:pPr>
      <w:r>
        <w:rPr>
          <w:rFonts w:hint="eastAsia" w:ascii="楷体_GB2312" w:eastAsia="楷体_GB2312"/>
          <w:b/>
          <w:bCs/>
          <w:spacing w:val="34"/>
          <w:sz w:val="48"/>
          <w:szCs w:val="48"/>
        </w:rPr>
        <w:t>权衡判断计算报告</w:t>
      </w:r>
    </w:p>
    <w:p/>
    <w:p/>
    <w:p>
      <w:pPr>
        <w:pStyle w:val="2"/>
      </w:pPr>
      <w:r>
        <w:rPr>
          <w:rFonts w:hint="eastAsia"/>
        </w:rPr>
        <w:t>权衡建筑概况</w:t>
      </w:r>
    </w:p>
    <w:tbl>
      <w:tblPr>
        <w:tblStyle w:val="13"/>
        <w:tblW w:w="0" w:type="auto"/>
        <w:tblInd w:w="24" w:type="dxa"/>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424"/>
        <w:gridCol w:w="607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地理位置</w:t>
            </w:r>
          </w:p>
        </w:tc>
        <w:tc>
          <w:tcPr>
            <w:tcW w:w="6074" w:type="dxa"/>
          </w:tcPr>
          <w:p>
            <w:bookmarkStart w:id="0" w:name="地理位置"/>
            <w:r>
              <w:rPr>
                <w:rFonts w:hint="eastAsia"/>
              </w:rPr>
              <w:t>江苏-南京</w:t>
            </w:r>
            <w:bookmarkEnd w:id="0"/>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工程名称</w:t>
            </w:r>
          </w:p>
        </w:tc>
        <w:tc>
          <w:tcPr>
            <w:tcW w:w="6074" w:type="dxa"/>
          </w:tcPr>
          <w:p>
            <w:r>
              <w:rPr>
                <w:rFonts w:hint="eastAsia" w:ascii="宋体" w:hAnsi="宋体"/>
                <w:sz w:val="21"/>
                <w:szCs w:val="21"/>
                <w:lang w:val="en-US" w:eastAsia="zh-CN"/>
              </w:rPr>
              <w:t>山水之间—上范村乡村低碳宜居建筑设计</w:t>
            </w:r>
            <w:bookmarkStart w:id="50" w:name="_GoBack"/>
            <w:bookmarkEnd w:id="50"/>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建筑（节能计算）面积</w:t>
            </w:r>
          </w:p>
        </w:tc>
        <w:tc>
          <w:tcPr>
            <w:tcW w:w="6074" w:type="dxa"/>
          </w:tcPr>
          <w:p>
            <w:r>
              <w:rPr>
                <w:rFonts w:hint="eastAsia"/>
              </w:rPr>
              <w:t>地上</w:t>
            </w:r>
            <w:bookmarkStart w:id="1" w:name="地上建筑面积"/>
            <w:r>
              <w:t>1929</w:t>
            </w:r>
            <w:bookmarkEnd w:id="1"/>
            <w:r>
              <w:rPr>
                <w:rFonts w:hint="eastAsia"/>
              </w:rPr>
              <w:t>㎡，地下</w:t>
            </w:r>
            <w:bookmarkStart w:id="2" w:name="地下建筑面积"/>
            <w:r>
              <w:t>0</w:t>
            </w:r>
            <w:bookmarkEnd w:id="2"/>
            <w:r>
              <w:rPr>
                <w:rFonts w:hint="eastAsia"/>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建筑（节能计算）高度</w:t>
            </w:r>
          </w:p>
        </w:tc>
        <w:tc>
          <w:tcPr>
            <w:tcW w:w="6074" w:type="dxa"/>
          </w:tcPr>
          <w:p>
            <w:bookmarkStart w:id="3" w:name="地上建筑高度"/>
            <w:r>
              <w:t>10.8</w:t>
            </w:r>
            <w:bookmarkEnd w:id="3"/>
            <w:r>
              <w:rPr>
                <w:rFonts w:hint="eastAsia"/>
              </w:rPr>
              <w:t xml:space="preserve"> 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建筑（节能计算）层数</w:t>
            </w:r>
          </w:p>
        </w:tc>
        <w:tc>
          <w:tcPr>
            <w:tcW w:w="6074" w:type="dxa"/>
          </w:tcPr>
          <w:p>
            <w:r>
              <w:rPr>
                <w:rFonts w:hint="eastAsia"/>
              </w:rPr>
              <w:t>地上</w:t>
            </w:r>
            <w:bookmarkStart w:id="4" w:name="地上建筑层数"/>
            <w:r>
              <w:t>2</w:t>
            </w:r>
            <w:bookmarkEnd w:id="4"/>
            <w:r>
              <w:rPr>
                <w:rFonts w:hint="eastAsia"/>
              </w:rPr>
              <w:t>层，地下</w:t>
            </w:r>
            <w:bookmarkStart w:id="5" w:name="地下建筑层数"/>
            <w:r>
              <w:t>0</w:t>
            </w:r>
            <w:bookmarkEnd w:id="5"/>
            <w:r>
              <w:rPr>
                <w:rFonts w:hint="eastAsia"/>
              </w:rPr>
              <w:t>层</w:t>
            </w:r>
          </w:p>
        </w:tc>
      </w:tr>
    </w:tbl>
    <w:p/>
    <w:p>
      <w:pPr>
        <w:pStyle w:val="2"/>
      </w:pPr>
      <w:bookmarkStart w:id="6" w:name="TitleFormat"/>
      <w:r>
        <w:rPr>
          <w:rFonts w:hint="eastAsia"/>
        </w:rPr>
        <w:t>权衡判断计算依据</w:t>
      </w:r>
    </w:p>
    <w:bookmarkEnd w:id="6"/>
    <w:p>
      <w:pPr>
        <w:ind w:left="420"/>
      </w:pPr>
      <w:bookmarkStart w:id="7" w:name="计算依据"/>
      <w:bookmarkEnd w:id="7"/>
      <w:r>
        <w:t>1. 《江苏省公共建筑节能设计标准》（DGJ32/J96-2010）</w:t>
      </w:r>
    </w:p>
    <w:p>
      <w:pPr>
        <w:ind w:left="420"/>
      </w:pPr>
      <w:r>
        <w:t>2. 《公共建筑节能设计标准》(GB50189-2005)</w:t>
      </w:r>
    </w:p>
    <w:p>
      <w:pPr>
        <w:ind w:left="420"/>
      </w:pPr>
      <w:r>
        <w:t>3. 《江苏省绿色建筑施工图设计文件编制深度规定》（2014年版）</w:t>
      </w:r>
    </w:p>
    <w:p>
      <w:pPr>
        <w:ind w:left="420"/>
      </w:pPr>
    </w:p>
    <w:p>
      <w:pPr>
        <w:pStyle w:val="2"/>
      </w:pPr>
      <w:r>
        <w:t>窗墙比超标时，屋面K墙体K窗户K应达标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江苏省绿色建筑施工图设计文件编制深度规定（2014年版）第2.4.4-2条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进行性能性指标设计时，因窗墙面积比超标时，屋面、墙体的传热系数应满足规定性指标的要求，窗户的传热系数应满足相近窗墙面积比达标时规定性指标的要求；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263" w:type="dxa"/>
            <w:shd w:val="clear" w:color="auto" w:fill="E6E6E6"/>
            <w:vAlign w:val="center"/>
          </w:tcPr>
          <w:p>
            <w:r>
              <w:t>结论</w:t>
            </w:r>
          </w:p>
        </w:tc>
        <w:tc>
          <w:tcPr>
            <w:tcW w:w="7069" w:type="dxa"/>
            <w:vAlign w:val="center"/>
          </w:tcPr>
          <w:p>
            <w:r>
              <w:t>满足</w:t>
            </w:r>
          </w:p>
        </w:tc>
      </w:tr>
    </w:tbl>
    <w:p>
      <w:pPr>
        <w:pStyle w:val="2"/>
      </w:pPr>
      <w:r>
        <w:t>外窗K超标时，屋面K和墙体k应达标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江苏省绿色建筑施工图设计文件编制深度规定（2014年版）第2.4.4-3条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进行性能性指标设计时，因窗传热系数超标时，屋面和墙的传热系数或传热阻应满足规定性指标的要求。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满足</w:t>
            </w:r>
          </w:p>
        </w:tc>
      </w:tr>
    </w:tbl>
    <w:p>
      <w:pPr>
        <w:pStyle w:val="2"/>
      </w:pPr>
      <w:r>
        <w:t>外墙K超标时，屋面K和外窗K应达标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263" w:type="dxa"/>
            <w:shd w:val="clear" w:color="auto" w:fill="E6E6E6"/>
            <w:vAlign w:val="center"/>
          </w:tcPr>
          <w:p>
            <w:r>
              <w:t>标准依据</w:t>
            </w:r>
          </w:p>
        </w:tc>
        <w:tc>
          <w:tcPr>
            <w:tcW w:w="7069" w:type="dxa"/>
            <w:vAlign w:val="center"/>
          </w:tcPr>
          <w:p>
            <w:r>
              <w:t>江苏省绿色建筑施工图设计文件编制深度规定（2014年版）第2.4.4-4条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进行性能性指标设计时，当因外墙传热系数超标时，屋面和窗的传热系数应满足规定性指标的要求；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满足</w:t>
            </w:r>
          </w:p>
        </w:tc>
      </w:tr>
    </w:tbl>
    <w:p>
      <w:pPr>
        <w:pStyle w:val="2"/>
      </w:pPr>
      <w:r>
        <w:t>窗的遮阳超标时，屋面K墙体K窗K应达标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江苏省绿色建筑施工图设计文件编制深度规定（2014年版）第2.4.4-5条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进行性能性指标设计时，因窗的遮阳超标时，屋面、墙和窗的传热系数应满足规定性指标的要求。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满足</w:t>
            </w:r>
          </w:p>
        </w:tc>
      </w:tr>
    </w:tbl>
    <w:p>
      <w:pPr>
        <w:pStyle w:val="2"/>
      </w:pPr>
      <w:r>
        <w:t>屋面K不得超标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《江苏省绿色建筑施工图设计文件编制深度规定（2014年版）第2.4.4-6-1条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屋面的传热系数超标时，不得进行性能性指标设计。即进行性能性指标设计时，屋面的传热系数不得超标。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满足</w:t>
            </w:r>
          </w:p>
        </w:tc>
      </w:tr>
    </w:tbl>
    <w:p>
      <w:pPr>
        <w:pStyle w:val="2"/>
      </w:pPr>
      <w:r>
        <w:t>窗和外墙的传热系数不得同时超标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江苏省绿色建筑施工图设计文件编制深度规定（2014年版）第2.4.4-6-2条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窗和外墙的传热系数同时不达标时，不得进行性能性指标设计。即进行性能性指标设计时，窗和外墙的传热系数不得同时超标。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满足</w:t>
            </w:r>
          </w:p>
        </w:tc>
      </w:tr>
    </w:tbl>
    <w:p>
      <w:pPr>
        <w:pStyle w:val="2"/>
      </w:pPr>
      <w:r>
        <w:t>窗的遮阳和传热系数不得同时超标</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江苏省绿色建筑施工图设计文件编制深度规定（2014年版）第2.4.4-6-3条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窗的遮阳和传热系数同时不达标时，不得进行性能性指标设计。即进行性能性指标设计时，窗的遮阳和传热系数不得同时超标。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满足</w:t>
            </w:r>
          </w:p>
        </w:tc>
      </w:tr>
    </w:tbl>
    <w:p>
      <w:pPr>
        <w:pStyle w:val="2"/>
      </w:pPr>
      <w:r>
        <w:t>综合权衡</w:t>
      </w:r>
    </w:p>
    <w:p>
      <w:pPr>
        <w:pStyle w:val="3"/>
      </w:pPr>
      <w:r>
        <w:t>计算条件</w:t>
      </w:r>
    </w:p>
    <w:p/>
    <w:tbl>
      <w:tblPr>
        <w:tblStyle w:val="13"/>
        <w:tblW w:w="51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653"/>
        <w:gridCol w:w="921"/>
        <w:gridCol w:w="979"/>
        <w:gridCol w:w="974"/>
        <w:gridCol w:w="889"/>
        <w:gridCol w:w="945"/>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jc w:val="center"/>
              <w:rPr>
                <w:bCs/>
                <w:szCs w:val="21"/>
              </w:rPr>
            </w:pPr>
          </w:p>
        </w:tc>
        <w:tc>
          <w:tcPr>
            <w:tcW w:w="1588" w:type="pct"/>
            <w:gridSpan w:val="3"/>
            <w:shd w:val="clear" w:color="auto" w:fill="E6E6E6"/>
            <w:vAlign w:val="center"/>
          </w:tcPr>
          <w:p>
            <w:pPr>
              <w:jc w:val="center"/>
              <w:rPr>
                <w:bCs/>
                <w:szCs w:val="21"/>
              </w:rPr>
            </w:pPr>
            <w:bookmarkStart w:id="8" w:name="设计建筑别名"/>
            <w:r>
              <w:rPr>
                <w:rFonts w:hAnsi="宋体"/>
                <w:bCs/>
                <w:szCs w:val="21"/>
              </w:rPr>
              <w:t>设计建筑</w:t>
            </w:r>
            <w:bookmarkEnd w:id="8"/>
          </w:p>
        </w:tc>
        <w:tc>
          <w:tcPr>
            <w:tcW w:w="1556" w:type="pct"/>
            <w:gridSpan w:val="3"/>
            <w:shd w:val="clear" w:color="auto" w:fill="E6E6E6"/>
            <w:vAlign w:val="center"/>
          </w:tcPr>
          <w:p>
            <w:pPr>
              <w:jc w:val="center"/>
              <w:rPr>
                <w:bCs/>
                <w:szCs w:val="21"/>
              </w:rPr>
            </w:pPr>
            <w:bookmarkStart w:id="9" w:name="参照建筑别名"/>
            <w:r>
              <w:rPr>
                <w:rFonts w:hAnsi="宋体"/>
                <w:kern w:val="0"/>
                <w:szCs w:val="21"/>
              </w:rPr>
              <w:t>参照建筑</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kern w:val="0"/>
                <w:szCs w:val="21"/>
              </w:rPr>
            </w:pPr>
            <w:r>
              <w:rPr>
                <w:rFonts w:hint="eastAsia" w:hAnsi="宋体"/>
                <w:kern w:val="0"/>
                <w:szCs w:val="21"/>
              </w:rPr>
              <w:t>体型系数S</w:t>
            </w:r>
          </w:p>
        </w:tc>
        <w:tc>
          <w:tcPr>
            <w:tcW w:w="1588" w:type="pct"/>
            <w:gridSpan w:val="3"/>
            <w:vAlign w:val="center"/>
          </w:tcPr>
          <w:p>
            <w:pPr>
              <w:widowControl/>
              <w:jc w:val="center"/>
              <w:rPr>
                <w:kern w:val="0"/>
                <w:szCs w:val="21"/>
              </w:rPr>
            </w:pPr>
            <w:bookmarkStart w:id="10" w:name="体型系数"/>
            <w:r>
              <w:rPr>
                <w:rFonts w:hint="eastAsia"/>
                <w:kern w:val="0"/>
                <w:szCs w:val="21"/>
              </w:rPr>
              <w:t>0.43</w:t>
            </w:r>
            <w:bookmarkEnd w:id="10"/>
          </w:p>
        </w:tc>
        <w:tc>
          <w:tcPr>
            <w:tcW w:w="1556" w:type="pct"/>
            <w:gridSpan w:val="3"/>
            <w:vAlign w:val="center"/>
          </w:tcPr>
          <w:p>
            <w:pPr>
              <w:widowControl/>
              <w:jc w:val="center"/>
              <w:rPr>
                <w:kern w:val="0"/>
                <w:szCs w:val="21"/>
              </w:rPr>
            </w:pPr>
            <w:bookmarkStart w:id="11" w:name="参照建筑体型系数"/>
            <w:r>
              <w:rPr>
                <w:rFonts w:hint="eastAsia"/>
                <w:kern w:val="0"/>
                <w:szCs w:val="21"/>
              </w:rPr>
              <w:t>0.43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kern w:val="0"/>
                <w:szCs w:val="21"/>
              </w:rPr>
            </w:pPr>
            <w:r>
              <w:rPr>
                <w:rFonts w:hAnsi="宋体"/>
                <w:kern w:val="0"/>
                <w:szCs w:val="21"/>
              </w:rPr>
              <w:t>屋顶传热系数</w:t>
            </w:r>
            <w:r>
              <w:rPr>
                <w:kern w:val="0"/>
                <w:szCs w:val="21"/>
              </w:rPr>
              <w:t>K [W/(m</w:t>
            </w:r>
            <w:r>
              <w:rPr>
                <w:kern w:val="0"/>
                <w:szCs w:val="21"/>
                <w:vertAlign w:val="superscript"/>
              </w:rPr>
              <w:t>2</w:t>
            </w:r>
            <w:r>
              <w:rPr>
                <w:kern w:val="0"/>
                <w:szCs w:val="21"/>
              </w:rPr>
              <w:t>·K)]</w:t>
            </w:r>
          </w:p>
        </w:tc>
        <w:tc>
          <w:tcPr>
            <w:tcW w:w="1588" w:type="pct"/>
            <w:gridSpan w:val="3"/>
            <w:vAlign w:val="center"/>
          </w:tcPr>
          <w:p>
            <w:pPr>
              <w:jc w:val="center"/>
              <w:rPr>
                <w:bCs/>
                <w:szCs w:val="21"/>
              </w:rPr>
            </w:pPr>
            <w:bookmarkStart w:id="12" w:name="屋顶K"/>
            <w:r>
              <w:rPr>
                <w:rFonts w:hint="eastAsia"/>
                <w:bCs/>
                <w:szCs w:val="21"/>
              </w:rPr>
              <w:t>0.50</w:t>
            </w:r>
            <w:bookmarkEnd w:id="12"/>
          </w:p>
        </w:tc>
        <w:tc>
          <w:tcPr>
            <w:tcW w:w="1556" w:type="pct"/>
            <w:gridSpan w:val="3"/>
            <w:vAlign w:val="center"/>
          </w:tcPr>
          <w:p>
            <w:pPr>
              <w:widowControl/>
              <w:jc w:val="center"/>
              <w:rPr>
                <w:kern w:val="0"/>
                <w:szCs w:val="21"/>
              </w:rPr>
            </w:pPr>
            <w:bookmarkStart w:id="13" w:name="参照建筑屋顶K"/>
            <w:r>
              <w:rPr>
                <w:rFonts w:hint="eastAsia"/>
                <w:kern w:val="0"/>
                <w:szCs w:val="21"/>
              </w:rPr>
              <w:t>0.70</w:t>
            </w:r>
            <w:bookmarkEnd w:id="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kern w:val="0"/>
                <w:szCs w:val="21"/>
              </w:rPr>
            </w:pPr>
            <w:r>
              <w:rPr>
                <w:rFonts w:hAnsi="宋体"/>
                <w:kern w:val="0"/>
                <w:szCs w:val="21"/>
              </w:rPr>
              <w:t>外墙</w:t>
            </w:r>
            <w:r>
              <w:rPr>
                <w:rFonts w:hint="eastAsia" w:hAnsi="宋体"/>
                <w:kern w:val="0"/>
                <w:szCs w:val="21"/>
              </w:rPr>
              <w:t>（包括非透明幕墙）</w:t>
            </w:r>
            <w:r>
              <w:rPr>
                <w:rFonts w:hAnsi="宋体"/>
                <w:kern w:val="0"/>
                <w:szCs w:val="21"/>
              </w:rPr>
              <w:t>传热系数</w:t>
            </w:r>
            <w:r>
              <w:rPr>
                <w:kern w:val="0"/>
                <w:szCs w:val="21"/>
              </w:rPr>
              <w:t>K [W/(m</w:t>
            </w:r>
            <w:r>
              <w:rPr>
                <w:kern w:val="0"/>
                <w:szCs w:val="21"/>
                <w:vertAlign w:val="superscript"/>
              </w:rPr>
              <w:t>2</w:t>
            </w:r>
            <w:r>
              <w:rPr>
                <w:kern w:val="0"/>
                <w:szCs w:val="21"/>
              </w:rPr>
              <w:t>·K)]</w:t>
            </w:r>
          </w:p>
        </w:tc>
        <w:tc>
          <w:tcPr>
            <w:tcW w:w="1588" w:type="pct"/>
            <w:gridSpan w:val="3"/>
            <w:vAlign w:val="center"/>
          </w:tcPr>
          <w:p>
            <w:pPr>
              <w:jc w:val="center"/>
              <w:rPr>
                <w:bCs/>
                <w:szCs w:val="21"/>
              </w:rPr>
            </w:pPr>
            <w:bookmarkStart w:id="14" w:name="外墙K"/>
            <w:r>
              <w:rPr>
                <w:rFonts w:hint="eastAsia"/>
                <w:bCs/>
                <w:szCs w:val="21"/>
              </w:rPr>
              <w:t>0.40</w:t>
            </w:r>
            <w:bookmarkEnd w:id="14"/>
          </w:p>
        </w:tc>
        <w:tc>
          <w:tcPr>
            <w:tcW w:w="1556" w:type="pct"/>
            <w:gridSpan w:val="3"/>
            <w:vAlign w:val="center"/>
          </w:tcPr>
          <w:p>
            <w:pPr>
              <w:widowControl/>
              <w:jc w:val="center"/>
              <w:rPr>
                <w:kern w:val="0"/>
                <w:szCs w:val="21"/>
              </w:rPr>
            </w:pPr>
            <w:bookmarkStart w:id="15" w:name="参照建筑外墙K"/>
            <w:r>
              <w:rPr>
                <w:rFonts w:hint="eastAsia"/>
                <w:kern w:val="0"/>
                <w:szCs w:val="21"/>
              </w:rPr>
              <w:t>1.00</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bCs/>
                <w:szCs w:val="21"/>
              </w:rPr>
            </w:pPr>
            <w:r>
              <w:rPr>
                <w:rFonts w:hint="eastAsia"/>
                <w:szCs w:val="21"/>
              </w:rPr>
              <w:t>屋顶透明部分</w:t>
            </w:r>
            <w:r>
              <w:rPr>
                <w:rFonts w:hint="eastAsia"/>
                <w:bCs/>
                <w:szCs w:val="21"/>
              </w:rPr>
              <w:t>传热系数</w:t>
            </w:r>
          </w:p>
          <w:p>
            <w:pPr>
              <w:widowControl/>
              <w:jc w:val="center"/>
              <w:rPr>
                <w:rFonts w:hAnsi="宋体"/>
                <w:kern w:val="0"/>
                <w:szCs w:val="21"/>
              </w:rPr>
            </w:pPr>
            <w:r>
              <w:rPr>
                <w:kern w:val="0"/>
                <w:szCs w:val="21"/>
              </w:rPr>
              <w:t>K [W/(m</w:t>
            </w:r>
            <w:r>
              <w:rPr>
                <w:kern w:val="0"/>
                <w:szCs w:val="21"/>
                <w:vertAlign w:val="superscript"/>
              </w:rPr>
              <w:t>2</w:t>
            </w:r>
            <w:r>
              <w:rPr>
                <w:kern w:val="0"/>
                <w:szCs w:val="21"/>
              </w:rPr>
              <w:t>·K)]</w:t>
            </w:r>
          </w:p>
        </w:tc>
        <w:tc>
          <w:tcPr>
            <w:tcW w:w="1588" w:type="pct"/>
            <w:gridSpan w:val="3"/>
            <w:vAlign w:val="center"/>
          </w:tcPr>
          <w:p>
            <w:pPr>
              <w:jc w:val="center"/>
              <w:rPr>
                <w:bCs/>
                <w:szCs w:val="21"/>
              </w:rPr>
            </w:pPr>
            <w:bookmarkStart w:id="16" w:name="天窗K"/>
            <w:r>
              <w:rPr>
                <w:rFonts w:hint="eastAsia"/>
                <w:bCs/>
                <w:szCs w:val="21"/>
              </w:rPr>
              <w:t>1.69</w:t>
            </w:r>
            <w:bookmarkEnd w:id="16"/>
          </w:p>
        </w:tc>
        <w:tc>
          <w:tcPr>
            <w:tcW w:w="1556" w:type="pct"/>
            <w:gridSpan w:val="3"/>
            <w:vAlign w:val="center"/>
          </w:tcPr>
          <w:p>
            <w:pPr>
              <w:widowControl/>
              <w:jc w:val="center"/>
              <w:rPr>
                <w:kern w:val="0"/>
                <w:szCs w:val="21"/>
              </w:rPr>
            </w:pPr>
            <w:bookmarkStart w:id="17" w:name="参照建筑天窗K"/>
            <w:r>
              <w:rPr>
                <w:rFonts w:hint="eastAsia"/>
                <w:kern w:val="0"/>
                <w:szCs w:val="21"/>
              </w:rPr>
              <w:t>3.00</w:t>
            </w:r>
            <w:bookmarkEnd w:id="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szCs w:val="21"/>
              </w:rPr>
            </w:pPr>
            <w:r>
              <w:rPr>
                <w:rFonts w:hint="eastAsia"/>
                <w:bCs/>
                <w:szCs w:val="21"/>
              </w:rPr>
              <w:t>屋顶透明部分遮阳系数</w:t>
            </w:r>
          </w:p>
        </w:tc>
        <w:tc>
          <w:tcPr>
            <w:tcW w:w="1588" w:type="pct"/>
            <w:gridSpan w:val="3"/>
            <w:vAlign w:val="center"/>
          </w:tcPr>
          <w:p>
            <w:pPr>
              <w:jc w:val="center"/>
              <w:rPr>
                <w:bCs/>
                <w:szCs w:val="21"/>
              </w:rPr>
            </w:pPr>
            <w:bookmarkStart w:id="18" w:name="天窗SC"/>
            <w:r>
              <w:rPr>
                <w:rFonts w:hint="eastAsia"/>
                <w:bCs/>
                <w:szCs w:val="21"/>
              </w:rPr>
              <w:t>0.23</w:t>
            </w:r>
            <w:bookmarkEnd w:id="18"/>
          </w:p>
        </w:tc>
        <w:tc>
          <w:tcPr>
            <w:tcW w:w="1556" w:type="pct"/>
            <w:gridSpan w:val="3"/>
            <w:vAlign w:val="center"/>
          </w:tcPr>
          <w:p>
            <w:pPr>
              <w:widowControl/>
              <w:jc w:val="center"/>
              <w:rPr>
                <w:kern w:val="0"/>
                <w:szCs w:val="21"/>
              </w:rPr>
            </w:pPr>
            <w:bookmarkStart w:id="19" w:name="参照建筑天窗SC"/>
            <w:r>
              <w:rPr>
                <w:rFonts w:hint="eastAsia"/>
                <w:kern w:val="0"/>
                <w:szCs w:val="21"/>
              </w:rPr>
              <w:t>0.40</w:t>
            </w:r>
            <w:bookmarkEnd w:id="1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kern w:val="0"/>
                <w:szCs w:val="21"/>
              </w:rPr>
            </w:pPr>
            <w:r>
              <w:rPr>
                <w:rFonts w:hint="eastAsia" w:hAnsi="宋体"/>
                <w:kern w:val="0"/>
                <w:szCs w:val="21"/>
              </w:rPr>
              <w:t>底面接触室外的架空或外挑楼板传热系数</w:t>
            </w:r>
            <w:r>
              <w:rPr>
                <w:kern w:val="0"/>
                <w:szCs w:val="21"/>
              </w:rPr>
              <w:t>K [W/(m</w:t>
            </w:r>
            <w:r>
              <w:rPr>
                <w:kern w:val="0"/>
                <w:szCs w:val="21"/>
                <w:vertAlign w:val="superscript"/>
              </w:rPr>
              <w:t>2</w:t>
            </w:r>
            <w:r>
              <w:rPr>
                <w:kern w:val="0"/>
                <w:szCs w:val="21"/>
              </w:rPr>
              <w:t>·K)]</w:t>
            </w:r>
          </w:p>
        </w:tc>
        <w:tc>
          <w:tcPr>
            <w:tcW w:w="1588" w:type="pct"/>
            <w:gridSpan w:val="3"/>
            <w:vAlign w:val="center"/>
          </w:tcPr>
          <w:p>
            <w:pPr>
              <w:jc w:val="center"/>
              <w:rPr>
                <w:bCs/>
                <w:szCs w:val="21"/>
              </w:rPr>
            </w:pPr>
            <w:bookmarkStart w:id="20" w:name="挑空楼板K"/>
            <w:r>
              <w:rPr>
                <w:rFonts w:hint="eastAsia"/>
                <w:bCs/>
                <w:szCs w:val="21"/>
              </w:rPr>
              <w:t>－</w:t>
            </w:r>
            <w:bookmarkEnd w:id="20"/>
          </w:p>
        </w:tc>
        <w:tc>
          <w:tcPr>
            <w:tcW w:w="1556" w:type="pct"/>
            <w:gridSpan w:val="3"/>
            <w:vAlign w:val="center"/>
          </w:tcPr>
          <w:p>
            <w:pPr>
              <w:widowControl/>
              <w:jc w:val="center"/>
              <w:rPr>
                <w:kern w:val="0"/>
                <w:szCs w:val="21"/>
              </w:rPr>
            </w:pPr>
            <w:bookmarkStart w:id="21" w:name="参照建筑挑空楼板K"/>
            <w:r>
              <w:rPr>
                <w:rFonts w:hint="eastAsia"/>
                <w:kern w:val="0"/>
                <w:szCs w:val="21"/>
              </w:rPr>
              <w:t>－</w:t>
            </w:r>
            <w:bookmarkEnd w:id="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kern w:val="0"/>
                <w:szCs w:val="21"/>
              </w:rPr>
            </w:pPr>
            <w:r>
              <w:rPr>
                <w:rFonts w:hint="eastAsia" w:hAnsi="宋体"/>
                <w:kern w:val="0"/>
                <w:szCs w:val="21"/>
              </w:rPr>
              <w:t>地下墙热阻R[</w:t>
            </w:r>
            <w:r>
              <w:rPr>
                <w:kern w:val="0"/>
                <w:szCs w:val="21"/>
              </w:rPr>
              <w:t>(m</w:t>
            </w:r>
            <w:r>
              <w:rPr>
                <w:kern w:val="0"/>
                <w:szCs w:val="21"/>
                <w:vertAlign w:val="superscript"/>
              </w:rPr>
              <w:t>2</w:t>
            </w:r>
            <w:r>
              <w:rPr>
                <w:kern w:val="0"/>
                <w:szCs w:val="21"/>
              </w:rPr>
              <w:t>·K</w:t>
            </w:r>
            <w:r>
              <w:rPr>
                <w:rFonts w:hint="eastAsia"/>
                <w:kern w:val="0"/>
                <w:szCs w:val="21"/>
              </w:rPr>
              <w:t>)/W</w:t>
            </w:r>
            <w:r>
              <w:rPr>
                <w:rFonts w:hint="eastAsia" w:hAnsi="宋体"/>
                <w:kern w:val="0"/>
                <w:szCs w:val="21"/>
              </w:rPr>
              <w:t>]</w:t>
            </w:r>
          </w:p>
        </w:tc>
        <w:tc>
          <w:tcPr>
            <w:tcW w:w="1588" w:type="pct"/>
            <w:gridSpan w:val="3"/>
            <w:vAlign w:val="center"/>
          </w:tcPr>
          <w:p>
            <w:pPr>
              <w:widowControl/>
              <w:jc w:val="center"/>
              <w:rPr>
                <w:kern w:val="0"/>
                <w:szCs w:val="21"/>
              </w:rPr>
            </w:pPr>
            <w:bookmarkStart w:id="22" w:name="地下墙R"/>
            <w:r>
              <w:rPr>
                <w:rFonts w:hint="eastAsia"/>
                <w:kern w:val="0"/>
                <w:szCs w:val="21"/>
              </w:rPr>
              <w:t>－</w:t>
            </w:r>
            <w:bookmarkEnd w:id="22"/>
          </w:p>
        </w:tc>
        <w:tc>
          <w:tcPr>
            <w:tcW w:w="1556" w:type="pct"/>
            <w:gridSpan w:val="3"/>
            <w:vAlign w:val="center"/>
          </w:tcPr>
          <w:p>
            <w:pPr>
              <w:widowControl/>
              <w:jc w:val="center"/>
              <w:rPr>
                <w:kern w:val="0"/>
                <w:szCs w:val="21"/>
              </w:rPr>
            </w:pPr>
            <w:bookmarkStart w:id="23" w:name="参照建筑地下墙R"/>
            <w:r>
              <w:rPr>
                <w:rFonts w:hint="eastAsia"/>
                <w:kern w:val="0"/>
                <w:szCs w:val="21"/>
              </w:rPr>
              <w:t>－</w:t>
            </w:r>
            <w:bookmarkEnd w:id="2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kern w:val="0"/>
                <w:szCs w:val="21"/>
              </w:rPr>
            </w:pPr>
            <w:r>
              <w:rPr>
                <w:rFonts w:hint="eastAsia" w:hAnsi="宋体"/>
                <w:kern w:val="0"/>
                <w:szCs w:val="21"/>
              </w:rPr>
              <w:t>地面热阻R[</w:t>
            </w:r>
            <w:r>
              <w:rPr>
                <w:kern w:val="0"/>
                <w:szCs w:val="21"/>
              </w:rPr>
              <w:t>(m</w:t>
            </w:r>
            <w:r>
              <w:rPr>
                <w:kern w:val="0"/>
                <w:szCs w:val="21"/>
                <w:vertAlign w:val="superscript"/>
              </w:rPr>
              <w:t>2</w:t>
            </w:r>
            <w:r>
              <w:rPr>
                <w:kern w:val="0"/>
                <w:szCs w:val="21"/>
              </w:rPr>
              <w:t>·K</w:t>
            </w:r>
            <w:r>
              <w:rPr>
                <w:rFonts w:hint="eastAsia"/>
                <w:kern w:val="0"/>
                <w:szCs w:val="21"/>
              </w:rPr>
              <w:t>)/W</w:t>
            </w:r>
            <w:r>
              <w:rPr>
                <w:rFonts w:hint="eastAsia" w:hAnsi="宋体"/>
                <w:kern w:val="0"/>
                <w:szCs w:val="21"/>
              </w:rPr>
              <w:t>]</w:t>
            </w:r>
          </w:p>
        </w:tc>
        <w:tc>
          <w:tcPr>
            <w:tcW w:w="1588" w:type="pct"/>
            <w:gridSpan w:val="3"/>
            <w:vAlign w:val="center"/>
          </w:tcPr>
          <w:p>
            <w:pPr>
              <w:widowControl/>
              <w:jc w:val="center"/>
              <w:rPr>
                <w:kern w:val="0"/>
                <w:szCs w:val="21"/>
              </w:rPr>
            </w:pPr>
            <w:bookmarkStart w:id="24" w:name="地面R"/>
            <w:r>
              <w:rPr>
                <w:rFonts w:hint="eastAsia"/>
                <w:kern w:val="0"/>
                <w:szCs w:val="21"/>
              </w:rPr>
              <w:t>1.47</w:t>
            </w:r>
            <w:bookmarkEnd w:id="24"/>
          </w:p>
        </w:tc>
        <w:tc>
          <w:tcPr>
            <w:tcW w:w="1556" w:type="pct"/>
            <w:gridSpan w:val="3"/>
            <w:vAlign w:val="center"/>
          </w:tcPr>
          <w:p>
            <w:pPr>
              <w:widowControl/>
              <w:jc w:val="center"/>
              <w:rPr>
                <w:kern w:val="0"/>
                <w:szCs w:val="21"/>
              </w:rPr>
            </w:pPr>
            <w:bookmarkStart w:id="25" w:name="参照建筑非周边地面R"/>
            <w:r>
              <w:rPr>
                <w:rFonts w:hint="eastAsia"/>
                <w:szCs w:val="21"/>
              </w:rPr>
              <w:t>1.20</w:t>
            </w:r>
            <w:bookmarkEnd w:id="2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913" w:type="pct"/>
            <w:shd w:val="clear" w:color="auto" w:fill="E6E6E6"/>
            <w:vAlign w:val="center"/>
          </w:tcPr>
          <w:p>
            <w:pPr>
              <w:jc w:val="center"/>
              <w:rPr>
                <w:bCs/>
                <w:szCs w:val="21"/>
              </w:rPr>
            </w:pPr>
            <w:r>
              <w:rPr>
                <w:rFonts w:hint="eastAsia"/>
                <w:bCs/>
                <w:szCs w:val="21"/>
              </w:rPr>
              <w:t>朝向</w:t>
            </w:r>
          </w:p>
        </w:tc>
        <w:tc>
          <w:tcPr>
            <w:tcW w:w="509" w:type="pct"/>
            <w:shd w:val="clear" w:color="auto" w:fill="E6E6E6"/>
            <w:vAlign w:val="center"/>
          </w:tcPr>
          <w:p>
            <w:pPr>
              <w:jc w:val="center"/>
              <w:rPr>
                <w:bCs/>
                <w:szCs w:val="21"/>
              </w:rPr>
            </w:pPr>
            <w:r>
              <w:rPr>
                <w:rFonts w:hint="eastAsia"/>
                <w:bCs/>
                <w:szCs w:val="21"/>
              </w:rPr>
              <w:t>窗墙比</w:t>
            </w:r>
          </w:p>
        </w:tc>
        <w:tc>
          <w:tcPr>
            <w:tcW w:w="541"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38" w:type="pct"/>
            <w:shd w:val="clear" w:color="auto" w:fill="E6E6E6"/>
            <w:vAlign w:val="center"/>
          </w:tcPr>
          <w:p>
            <w:pPr>
              <w:jc w:val="center"/>
              <w:rPr>
                <w:bCs/>
                <w:szCs w:val="21"/>
              </w:rPr>
            </w:pPr>
            <w:r>
              <w:rPr>
                <w:rFonts w:hint="eastAsia"/>
                <w:bCs/>
                <w:szCs w:val="21"/>
              </w:rPr>
              <w:t>遮阳</w:t>
            </w:r>
          </w:p>
          <w:p>
            <w:pPr>
              <w:jc w:val="center"/>
              <w:rPr>
                <w:bCs/>
                <w:szCs w:val="21"/>
              </w:rPr>
            </w:pPr>
            <w:r>
              <w:rPr>
                <w:rFonts w:hint="eastAsia"/>
                <w:bCs/>
                <w:szCs w:val="21"/>
              </w:rPr>
              <w:t>系数</w:t>
            </w:r>
          </w:p>
        </w:tc>
        <w:tc>
          <w:tcPr>
            <w:tcW w:w="491" w:type="pct"/>
            <w:shd w:val="clear" w:color="auto" w:fill="E6E6E6"/>
            <w:vAlign w:val="center"/>
          </w:tcPr>
          <w:p>
            <w:pPr>
              <w:jc w:val="center"/>
              <w:rPr>
                <w:bCs/>
                <w:szCs w:val="21"/>
              </w:rPr>
            </w:pPr>
            <w:r>
              <w:rPr>
                <w:rFonts w:hint="eastAsia"/>
                <w:bCs/>
                <w:szCs w:val="21"/>
              </w:rPr>
              <w:t>窗墙比</w:t>
            </w:r>
          </w:p>
        </w:tc>
        <w:tc>
          <w:tcPr>
            <w:tcW w:w="522"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44" w:type="pct"/>
            <w:shd w:val="clear" w:color="auto" w:fill="E6E6E6"/>
            <w:vAlign w:val="center"/>
          </w:tcPr>
          <w:p>
            <w:pPr>
              <w:jc w:val="center"/>
              <w:rPr>
                <w:bCs/>
                <w:szCs w:val="21"/>
              </w:rPr>
            </w:pPr>
            <w:r>
              <w:rPr>
                <w:rFonts w:hint="eastAsia"/>
                <w:bCs/>
                <w:szCs w:val="21"/>
              </w:rPr>
              <w:t>遮阳</w:t>
            </w:r>
          </w:p>
          <w:p>
            <w:pPr>
              <w:jc w:val="center"/>
              <w:rPr>
                <w:bCs/>
                <w:szCs w:val="21"/>
              </w:rPr>
            </w:pPr>
            <w:r>
              <w:rPr>
                <w:rFonts w:hint="eastAsia"/>
                <w:bCs/>
                <w:szCs w:val="21"/>
              </w:rPr>
              <w:t>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2" w:type="pct"/>
            <w:vMerge w:val="continue"/>
            <w:vAlign w:val="center"/>
          </w:tcPr>
          <w:p>
            <w:pPr>
              <w:jc w:val="center"/>
              <w:rPr>
                <w:bCs/>
                <w:szCs w:val="21"/>
              </w:rPr>
            </w:pPr>
          </w:p>
        </w:tc>
        <w:tc>
          <w:tcPr>
            <w:tcW w:w="913" w:type="pct"/>
            <w:shd w:val="clear" w:color="auto" w:fill="E6E6E6"/>
            <w:vAlign w:val="center"/>
          </w:tcPr>
          <w:p>
            <w:pPr>
              <w:jc w:val="center"/>
              <w:rPr>
                <w:bCs/>
                <w:szCs w:val="21"/>
              </w:rPr>
            </w:pPr>
            <w:r>
              <w:rPr>
                <w:rFonts w:hAnsi="宋体"/>
                <w:bCs/>
                <w:szCs w:val="21"/>
              </w:rPr>
              <w:t>南向</w:t>
            </w:r>
          </w:p>
        </w:tc>
        <w:tc>
          <w:tcPr>
            <w:tcW w:w="509" w:type="pct"/>
            <w:vAlign w:val="center"/>
          </w:tcPr>
          <w:p>
            <w:pPr>
              <w:jc w:val="center"/>
              <w:rPr>
                <w:bCs/>
                <w:szCs w:val="21"/>
              </w:rPr>
            </w:pPr>
            <w:bookmarkStart w:id="26" w:name="窗墙比－南向"/>
            <w:r>
              <w:rPr>
                <w:rFonts w:hint="eastAsia"/>
                <w:bCs/>
                <w:szCs w:val="21"/>
              </w:rPr>
              <w:t>0.64</w:t>
            </w:r>
            <w:bookmarkEnd w:id="26"/>
          </w:p>
        </w:tc>
        <w:tc>
          <w:tcPr>
            <w:tcW w:w="541" w:type="pct"/>
            <w:vAlign w:val="center"/>
          </w:tcPr>
          <w:p>
            <w:pPr>
              <w:jc w:val="center"/>
              <w:rPr>
                <w:bCs/>
                <w:szCs w:val="21"/>
              </w:rPr>
            </w:pPr>
            <w:bookmarkStart w:id="27" w:name="外窗K－南向"/>
            <w:r>
              <w:rPr>
                <w:rFonts w:hint="eastAsia"/>
                <w:bCs/>
                <w:szCs w:val="21"/>
              </w:rPr>
              <w:t>1.69</w:t>
            </w:r>
            <w:bookmarkEnd w:id="27"/>
          </w:p>
        </w:tc>
        <w:tc>
          <w:tcPr>
            <w:tcW w:w="538" w:type="pct"/>
            <w:vAlign w:val="center"/>
          </w:tcPr>
          <w:p>
            <w:pPr>
              <w:jc w:val="center"/>
              <w:rPr>
                <w:bCs/>
                <w:szCs w:val="21"/>
              </w:rPr>
            </w:pPr>
            <w:bookmarkStart w:id="28" w:name="外窗SC－南向"/>
            <w:r>
              <w:rPr>
                <w:rFonts w:hint="eastAsia"/>
                <w:bCs/>
                <w:szCs w:val="21"/>
              </w:rPr>
              <w:t>0.23</w:t>
            </w:r>
            <w:bookmarkEnd w:id="28"/>
          </w:p>
        </w:tc>
        <w:tc>
          <w:tcPr>
            <w:tcW w:w="491" w:type="pct"/>
            <w:vAlign w:val="center"/>
          </w:tcPr>
          <w:p>
            <w:pPr>
              <w:jc w:val="center"/>
              <w:rPr>
                <w:bCs/>
                <w:szCs w:val="21"/>
              </w:rPr>
            </w:pPr>
            <w:bookmarkStart w:id="29" w:name="参照建筑窗墙比－南向"/>
            <w:r>
              <w:rPr>
                <w:rFonts w:hint="eastAsia"/>
                <w:bCs/>
                <w:szCs w:val="21"/>
              </w:rPr>
              <w:t>0.64</w:t>
            </w:r>
            <w:bookmarkEnd w:id="29"/>
          </w:p>
        </w:tc>
        <w:tc>
          <w:tcPr>
            <w:tcW w:w="522" w:type="pct"/>
            <w:vAlign w:val="center"/>
          </w:tcPr>
          <w:p>
            <w:pPr>
              <w:jc w:val="center"/>
              <w:rPr>
                <w:bCs/>
                <w:szCs w:val="21"/>
              </w:rPr>
            </w:pPr>
            <w:bookmarkStart w:id="30" w:name="参照建筑外窗K－南向"/>
            <w:r>
              <w:rPr>
                <w:rFonts w:hint="eastAsia"/>
                <w:bCs/>
                <w:szCs w:val="21"/>
              </w:rPr>
              <w:t>2.50</w:t>
            </w:r>
            <w:bookmarkEnd w:id="30"/>
          </w:p>
        </w:tc>
        <w:tc>
          <w:tcPr>
            <w:tcW w:w="544" w:type="pct"/>
            <w:vAlign w:val="center"/>
          </w:tcPr>
          <w:p>
            <w:pPr>
              <w:jc w:val="center"/>
              <w:rPr>
                <w:bCs/>
                <w:szCs w:val="21"/>
              </w:rPr>
            </w:pPr>
            <w:bookmarkStart w:id="31" w:name="参照建筑外窗SC－南向"/>
            <w:r>
              <w:rPr>
                <w:rFonts w:hint="eastAsia"/>
                <w:bCs/>
                <w:szCs w:val="21"/>
              </w:rPr>
              <w:t>0.40</w:t>
            </w:r>
            <w:bookmarkEnd w:id="3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2" w:type="pct"/>
            <w:vMerge w:val="continue"/>
            <w:vAlign w:val="center"/>
          </w:tcPr>
          <w:p>
            <w:pPr>
              <w:jc w:val="center"/>
              <w:rPr>
                <w:bCs/>
                <w:szCs w:val="21"/>
              </w:rPr>
            </w:pPr>
          </w:p>
        </w:tc>
        <w:tc>
          <w:tcPr>
            <w:tcW w:w="913" w:type="pct"/>
            <w:shd w:val="clear" w:color="auto" w:fill="E6E6E6"/>
            <w:vAlign w:val="center"/>
          </w:tcPr>
          <w:p>
            <w:pPr>
              <w:jc w:val="center"/>
              <w:rPr>
                <w:bCs/>
                <w:szCs w:val="21"/>
              </w:rPr>
            </w:pPr>
            <w:r>
              <w:rPr>
                <w:rFonts w:hAnsi="宋体"/>
                <w:bCs/>
                <w:szCs w:val="21"/>
              </w:rPr>
              <w:t>北向</w:t>
            </w:r>
          </w:p>
        </w:tc>
        <w:tc>
          <w:tcPr>
            <w:tcW w:w="509" w:type="pct"/>
            <w:vAlign w:val="center"/>
          </w:tcPr>
          <w:p>
            <w:pPr>
              <w:jc w:val="center"/>
              <w:rPr>
                <w:bCs/>
                <w:szCs w:val="21"/>
              </w:rPr>
            </w:pPr>
            <w:bookmarkStart w:id="32" w:name="窗墙比－北向"/>
            <w:r>
              <w:rPr>
                <w:rFonts w:hint="eastAsia"/>
                <w:bCs/>
                <w:szCs w:val="21"/>
              </w:rPr>
              <w:t>0.21</w:t>
            </w:r>
            <w:bookmarkEnd w:id="32"/>
          </w:p>
        </w:tc>
        <w:tc>
          <w:tcPr>
            <w:tcW w:w="541" w:type="pct"/>
            <w:vAlign w:val="center"/>
          </w:tcPr>
          <w:p>
            <w:pPr>
              <w:jc w:val="center"/>
              <w:rPr>
                <w:bCs/>
                <w:szCs w:val="21"/>
              </w:rPr>
            </w:pPr>
            <w:bookmarkStart w:id="33" w:name="外窗K－北向"/>
            <w:r>
              <w:rPr>
                <w:rFonts w:hint="eastAsia" w:ascii="宋体" w:hAnsi="宋体" w:cs="宋体"/>
                <w:kern w:val="0"/>
                <w:sz w:val="22"/>
                <w:szCs w:val="22"/>
              </w:rPr>
              <w:t>1.69</w:t>
            </w:r>
            <w:bookmarkEnd w:id="33"/>
          </w:p>
        </w:tc>
        <w:tc>
          <w:tcPr>
            <w:tcW w:w="538" w:type="pct"/>
            <w:vAlign w:val="center"/>
          </w:tcPr>
          <w:p>
            <w:pPr>
              <w:jc w:val="center"/>
              <w:rPr>
                <w:bCs/>
                <w:szCs w:val="21"/>
              </w:rPr>
            </w:pPr>
            <w:bookmarkStart w:id="34" w:name="外窗SC－北向"/>
            <w:r>
              <w:rPr>
                <w:rFonts w:hint="eastAsia"/>
                <w:bCs/>
                <w:szCs w:val="21"/>
              </w:rPr>
              <w:t>0.23</w:t>
            </w:r>
            <w:bookmarkEnd w:id="34"/>
          </w:p>
        </w:tc>
        <w:tc>
          <w:tcPr>
            <w:tcW w:w="491" w:type="pct"/>
            <w:vAlign w:val="center"/>
          </w:tcPr>
          <w:p>
            <w:pPr>
              <w:jc w:val="center"/>
              <w:rPr>
                <w:bCs/>
                <w:szCs w:val="21"/>
              </w:rPr>
            </w:pPr>
            <w:bookmarkStart w:id="35" w:name="参照建筑窗墙比－北向"/>
            <w:r>
              <w:rPr>
                <w:rFonts w:hint="eastAsia"/>
                <w:bCs/>
                <w:szCs w:val="21"/>
              </w:rPr>
              <w:t>0.21</w:t>
            </w:r>
            <w:bookmarkEnd w:id="35"/>
          </w:p>
        </w:tc>
        <w:tc>
          <w:tcPr>
            <w:tcW w:w="522" w:type="pct"/>
            <w:vAlign w:val="center"/>
          </w:tcPr>
          <w:p>
            <w:pPr>
              <w:jc w:val="center"/>
              <w:rPr>
                <w:bCs/>
                <w:szCs w:val="21"/>
              </w:rPr>
            </w:pPr>
            <w:bookmarkStart w:id="36" w:name="参照建筑外窗K－北向"/>
            <w:r>
              <w:rPr>
                <w:rFonts w:hint="eastAsia"/>
                <w:bCs/>
                <w:szCs w:val="21"/>
              </w:rPr>
              <w:t>3.50</w:t>
            </w:r>
            <w:bookmarkEnd w:id="36"/>
          </w:p>
        </w:tc>
        <w:tc>
          <w:tcPr>
            <w:tcW w:w="544" w:type="pct"/>
            <w:vAlign w:val="center"/>
          </w:tcPr>
          <w:p>
            <w:pPr>
              <w:jc w:val="center"/>
              <w:rPr>
                <w:bCs/>
                <w:szCs w:val="21"/>
              </w:rPr>
            </w:pPr>
            <w:bookmarkStart w:id="37" w:name="参照建筑外窗SC－北向"/>
            <w:r>
              <w:rPr>
                <w:rFonts w:hint="eastAsia"/>
                <w:bCs/>
                <w:szCs w:val="21"/>
              </w:rPr>
              <w:t>1.00</w:t>
            </w:r>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2" w:type="pct"/>
            <w:vMerge w:val="continue"/>
            <w:vAlign w:val="center"/>
          </w:tcPr>
          <w:p>
            <w:pPr>
              <w:jc w:val="center"/>
              <w:rPr>
                <w:bCs/>
                <w:szCs w:val="21"/>
              </w:rPr>
            </w:pPr>
          </w:p>
        </w:tc>
        <w:tc>
          <w:tcPr>
            <w:tcW w:w="913" w:type="pct"/>
            <w:shd w:val="clear" w:color="auto" w:fill="E6E6E6"/>
            <w:vAlign w:val="center"/>
          </w:tcPr>
          <w:p>
            <w:pPr>
              <w:jc w:val="center"/>
              <w:rPr>
                <w:rFonts w:hAnsi="宋体"/>
                <w:bCs/>
                <w:szCs w:val="21"/>
              </w:rPr>
            </w:pPr>
            <w:r>
              <w:rPr>
                <w:rFonts w:hAnsi="宋体"/>
                <w:bCs/>
                <w:szCs w:val="21"/>
              </w:rPr>
              <w:t>东向</w:t>
            </w:r>
          </w:p>
        </w:tc>
        <w:tc>
          <w:tcPr>
            <w:tcW w:w="509" w:type="pct"/>
            <w:vAlign w:val="center"/>
          </w:tcPr>
          <w:p>
            <w:pPr>
              <w:jc w:val="center"/>
              <w:rPr>
                <w:bCs/>
                <w:szCs w:val="21"/>
              </w:rPr>
            </w:pPr>
            <w:bookmarkStart w:id="38" w:name="窗墙比－东向"/>
            <w:r>
              <w:rPr>
                <w:rFonts w:hint="eastAsia"/>
                <w:bCs/>
                <w:szCs w:val="21"/>
              </w:rPr>
              <w:t>0.33</w:t>
            </w:r>
            <w:bookmarkEnd w:id="38"/>
          </w:p>
        </w:tc>
        <w:tc>
          <w:tcPr>
            <w:tcW w:w="541" w:type="pct"/>
            <w:vAlign w:val="center"/>
          </w:tcPr>
          <w:p>
            <w:pPr>
              <w:jc w:val="center"/>
              <w:rPr>
                <w:bCs/>
                <w:szCs w:val="21"/>
              </w:rPr>
            </w:pPr>
            <w:bookmarkStart w:id="39" w:name="外窗K－东向"/>
            <w:r>
              <w:rPr>
                <w:rFonts w:hint="eastAsia"/>
                <w:bCs/>
                <w:szCs w:val="21"/>
              </w:rPr>
              <w:t>1.69</w:t>
            </w:r>
            <w:bookmarkEnd w:id="39"/>
          </w:p>
        </w:tc>
        <w:tc>
          <w:tcPr>
            <w:tcW w:w="538" w:type="pct"/>
            <w:vAlign w:val="center"/>
          </w:tcPr>
          <w:p>
            <w:pPr>
              <w:jc w:val="center"/>
              <w:rPr>
                <w:bCs/>
                <w:szCs w:val="21"/>
              </w:rPr>
            </w:pPr>
            <w:bookmarkStart w:id="40" w:name="外窗SC－东向"/>
            <w:r>
              <w:rPr>
                <w:rFonts w:hint="eastAsia"/>
                <w:bCs/>
                <w:szCs w:val="21"/>
              </w:rPr>
              <w:t>0.23</w:t>
            </w:r>
            <w:bookmarkEnd w:id="40"/>
          </w:p>
        </w:tc>
        <w:tc>
          <w:tcPr>
            <w:tcW w:w="491" w:type="pct"/>
            <w:vAlign w:val="center"/>
          </w:tcPr>
          <w:p>
            <w:pPr>
              <w:jc w:val="center"/>
              <w:rPr>
                <w:bCs/>
                <w:szCs w:val="21"/>
              </w:rPr>
            </w:pPr>
            <w:bookmarkStart w:id="41" w:name="参照建筑窗墙比－东向"/>
            <w:r>
              <w:rPr>
                <w:rFonts w:hint="eastAsia"/>
                <w:bCs/>
                <w:szCs w:val="21"/>
              </w:rPr>
              <w:t>0.33</w:t>
            </w:r>
            <w:bookmarkEnd w:id="41"/>
          </w:p>
        </w:tc>
        <w:tc>
          <w:tcPr>
            <w:tcW w:w="522" w:type="pct"/>
            <w:vAlign w:val="center"/>
          </w:tcPr>
          <w:p>
            <w:pPr>
              <w:jc w:val="center"/>
              <w:rPr>
                <w:bCs/>
                <w:szCs w:val="21"/>
              </w:rPr>
            </w:pPr>
            <w:bookmarkStart w:id="42" w:name="参照建筑外窗K－东向"/>
            <w:r>
              <w:rPr>
                <w:rFonts w:hint="eastAsia"/>
                <w:bCs/>
                <w:szCs w:val="21"/>
              </w:rPr>
              <w:t>3.00</w:t>
            </w:r>
            <w:bookmarkEnd w:id="42"/>
          </w:p>
        </w:tc>
        <w:tc>
          <w:tcPr>
            <w:tcW w:w="544" w:type="pct"/>
            <w:vAlign w:val="center"/>
          </w:tcPr>
          <w:p>
            <w:pPr>
              <w:jc w:val="center"/>
              <w:rPr>
                <w:bCs/>
                <w:szCs w:val="21"/>
              </w:rPr>
            </w:pPr>
            <w:bookmarkStart w:id="43" w:name="参照建筑外窗SC－东向"/>
            <w:r>
              <w:rPr>
                <w:rFonts w:hint="eastAsia"/>
                <w:bCs/>
                <w:szCs w:val="21"/>
              </w:rPr>
              <w:t>0.50</w:t>
            </w:r>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2" w:type="pct"/>
            <w:vMerge w:val="continue"/>
            <w:vAlign w:val="center"/>
          </w:tcPr>
          <w:p>
            <w:pPr>
              <w:jc w:val="center"/>
              <w:rPr>
                <w:bCs/>
                <w:szCs w:val="21"/>
              </w:rPr>
            </w:pPr>
          </w:p>
        </w:tc>
        <w:tc>
          <w:tcPr>
            <w:tcW w:w="913" w:type="pct"/>
            <w:shd w:val="clear" w:color="auto" w:fill="E6E6E6"/>
            <w:vAlign w:val="center"/>
          </w:tcPr>
          <w:p>
            <w:pPr>
              <w:jc w:val="center"/>
              <w:rPr>
                <w:bCs/>
                <w:szCs w:val="21"/>
              </w:rPr>
            </w:pPr>
            <w:r>
              <w:rPr>
                <w:rFonts w:hAnsi="宋体"/>
                <w:bCs/>
                <w:szCs w:val="21"/>
              </w:rPr>
              <w:t>西向</w:t>
            </w:r>
          </w:p>
        </w:tc>
        <w:tc>
          <w:tcPr>
            <w:tcW w:w="509" w:type="pct"/>
            <w:vAlign w:val="center"/>
          </w:tcPr>
          <w:p>
            <w:pPr>
              <w:jc w:val="center"/>
              <w:rPr>
                <w:bCs/>
                <w:szCs w:val="21"/>
              </w:rPr>
            </w:pPr>
            <w:bookmarkStart w:id="44" w:name="窗墙比－西向"/>
            <w:r>
              <w:rPr>
                <w:rFonts w:hint="eastAsia"/>
                <w:bCs/>
                <w:szCs w:val="21"/>
              </w:rPr>
              <w:t>0.24</w:t>
            </w:r>
            <w:bookmarkEnd w:id="44"/>
          </w:p>
        </w:tc>
        <w:tc>
          <w:tcPr>
            <w:tcW w:w="541" w:type="pct"/>
            <w:vAlign w:val="center"/>
          </w:tcPr>
          <w:p>
            <w:pPr>
              <w:jc w:val="center"/>
              <w:rPr>
                <w:bCs/>
                <w:szCs w:val="21"/>
              </w:rPr>
            </w:pPr>
            <w:bookmarkStart w:id="45" w:name="外窗K－西向"/>
            <w:r>
              <w:rPr>
                <w:rFonts w:hint="eastAsia"/>
                <w:bCs/>
                <w:szCs w:val="21"/>
              </w:rPr>
              <w:t>1.69</w:t>
            </w:r>
            <w:bookmarkEnd w:id="45"/>
          </w:p>
        </w:tc>
        <w:tc>
          <w:tcPr>
            <w:tcW w:w="538" w:type="pct"/>
            <w:vAlign w:val="center"/>
          </w:tcPr>
          <w:p>
            <w:pPr>
              <w:jc w:val="center"/>
              <w:rPr>
                <w:bCs/>
                <w:szCs w:val="21"/>
              </w:rPr>
            </w:pPr>
            <w:bookmarkStart w:id="46" w:name="外窗SC－西向"/>
            <w:r>
              <w:rPr>
                <w:rFonts w:hint="eastAsia"/>
                <w:bCs/>
                <w:szCs w:val="21"/>
              </w:rPr>
              <w:t>0.23</w:t>
            </w:r>
            <w:bookmarkEnd w:id="46"/>
          </w:p>
        </w:tc>
        <w:tc>
          <w:tcPr>
            <w:tcW w:w="491" w:type="pct"/>
            <w:vAlign w:val="center"/>
          </w:tcPr>
          <w:p>
            <w:pPr>
              <w:jc w:val="center"/>
              <w:rPr>
                <w:bCs/>
                <w:szCs w:val="21"/>
              </w:rPr>
            </w:pPr>
            <w:bookmarkStart w:id="47" w:name="参照建筑窗墙比－西向"/>
            <w:r>
              <w:rPr>
                <w:rFonts w:hint="eastAsia"/>
                <w:bCs/>
                <w:szCs w:val="21"/>
              </w:rPr>
              <w:t>0.24</w:t>
            </w:r>
            <w:bookmarkEnd w:id="47"/>
          </w:p>
        </w:tc>
        <w:tc>
          <w:tcPr>
            <w:tcW w:w="522" w:type="pct"/>
            <w:vAlign w:val="center"/>
          </w:tcPr>
          <w:p>
            <w:pPr>
              <w:jc w:val="center"/>
              <w:rPr>
                <w:bCs/>
                <w:szCs w:val="21"/>
              </w:rPr>
            </w:pPr>
            <w:bookmarkStart w:id="48" w:name="参照建筑外窗K－西向"/>
            <w:r>
              <w:rPr>
                <w:rFonts w:hint="eastAsia"/>
                <w:bCs/>
                <w:szCs w:val="21"/>
              </w:rPr>
              <w:t>3.50</w:t>
            </w:r>
            <w:bookmarkEnd w:id="48"/>
          </w:p>
        </w:tc>
        <w:tc>
          <w:tcPr>
            <w:tcW w:w="544" w:type="pct"/>
            <w:vAlign w:val="center"/>
          </w:tcPr>
          <w:p>
            <w:pPr>
              <w:jc w:val="center"/>
              <w:rPr>
                <w:bCs/>
                <w:szCs w:val="21"/>
              </w:rPr>
            </w:pPr>
            <w:bookmarkStart w:id="49" w:name="参照建筑外窗SC－西向"/>
            <w:r>
              <w:rPr>
                <w:rFonts w:hint="eastAsia"/>
                <w:bCs/>
                <w:szCs w:val="21"/>
              </w:rPr>
              <w:t>0.55</w:t>
            </w:r>
            <w:bookmarkEnd w:id="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5" w:type="pct"/>
            <w:gridSpan w:val="2"/>
            <w:shd w:val="clear" w:color="auto" w:fill="E6E6E6"/>
            <w:vAlign w:val="center"/>
          </w:tcPr>
          <w:p>
            <w:pPr>
              <w:widowControl/>
              <w:jc w:val="center"/>
              <w:rPr>
                <w:kern w:val="0"/>
                <w:szCs w:val="21"/>
              </w:rPr>
            </w:pPr>
            <w:r>
              <w:rPr>
                <w:rFonts w:hint="eastAsia" w:hAnsi="宋体"/>
                <w:kern w:val="0"/>
                <w:szCs w:val="21"/>
              </w:rPr>
              <w:t>室内参数和气象条件设置</w:t>
            </w:r>
          </w:p>
        </w:tc>
        <w:tc>
          <w:tcPr>
            <w:tcW w:w="3145" w:type="pct"/>
            <w:gridSpan w:val="6"/>
            <w:vAlign w:val="center"/>
          </w:tcPr>
          <w:p>
            <w:pPr>
              <w:widowControl/>
              <w:jc w:val="center"/>
              <w:rPr>
                <w:rFonts w:ascii="宋体" w:hAnsi="宋体"/>
                <w:kern w:val="0"/>
                <w:szCs w:val="21"/>
              </w:rPr>
            </w:pPr>
            <w:r>
              <w:rPr>
                <w:rFonts w:hint="eastAsia" w:ascii="宋体" w:hAnsi="宋体"/>
                <w:kern w:val="0"/>
                <w:szCs w:val="21"/>
              </w:rPr>
              <w:t>按</w:t>
            </w:r>
            <w:r>
              <w:rPr>
                <w:rFonts w:hint="eastAsia" w:ascii="宋体" w:hAnsi="宋体"/>
                <w:szCs w:val="21"/>
              </w:rPr>
              <w:t>江苏省《公共建筑节能设计标准》（</w:t>
            </w:r>
            <w:r>
              <w:rPr>
                <w:rFonts w:ascii="宋体" w:hAnsi="宋体"/>
                <w:szCs w:val="21"/>
              </w:rPr>
              <w:t>DGJ32/J96-2010</w:t>
            </w:r>
            <w:r>
              <w:rPr>
                <w:rFonts w:hint="eastAsia" w:ascii="宋体" w:hAnsi="宋体"/>
                <w:szCs w:val="21"/>
              </w:rPr>
              <w:t>）</w:t>
            </w:r>
            <w:r>
              <w:rPr>
                <w:rFonts w:hint="eastAsia" w:ascii="宋体" w:hAnsi="宋体"/>
                <w:kern w:val="0"/>
                <w:szCs w:val="21"/>
              </w:rPr>
              <w:t>附录A设置</w:t>
            </w:r>
          </w:p>
        </w:tc>
      </w:tr>
    </w:tbl>
    <w:p/>
    <w:p>
      <w:pPr>
        <w:pStyle w:val="3"/>
      </w:pPr>
      <w:r>
        <w:t>综合权衡</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1"/>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pPr>
              <w:jc w:val="center"/>
            </w:pPr>
          </w:p>
        </w:tc>
        <w:tc>
          <w:tcPr>
            <w:tcW w:w="2971" w:type="dxa"/>
            <w:shd w:val="clear" w:color="auto" w:fill="E6E6E6"/>
            <w:vAlign w:val="center"/>
          </w:tcPr>
          <w:p>
            <w:pPr>
              <w:jc w:val="center"/>
            </w:pPr>
            <w:r>
              <w:t>设计建筑</w:t>
            </w:r>
          </w:p>
        </w:tc>
        <w:tc>
          <w:tcPr>
            <w:tcW w:w="2971" w:type="dxa"/>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耗冷耗热量(kWh/㎡)</w:t>
            </w:r>
          </w:p>
        </w:tc>
        <w:tc>
          <w:tcPr>
            <w:tcW w:w="2971" w:type="dxa"/>
            <w:vAlign w:val="center"/>
          </w:tcPr>
          <w:p>
            <w:r>
              <w:t>119.42</w:t>
            </w:r>
          </w:p>
        </w:tc>
        <w:tc>
          <w:tcPr>
            <w:tcW w:w="2971" w:type="dxa"/>
            <w:vAlign w:val="center"/>
          </w:tcPr>
          <w:p>
            <w:r>
              <w:t>146.93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耗冷量(kWh/㎡)</w:t>
            </w:r>
          </w:p>
        </w:tc>
        <w:tc>
          <w:tcPr>
            <w:tcW w:w="2971" w:type="dxa"/>
            <w:vAlign w:val="center"/>
          </w:tcPr>
          <w:p>
            <w:r>
              <w:t>51.09</w:t>
            </w:r>
          </w:p>
        </w:tc>
        <w:tc>
          <w:tcPr>
            <w:tcW w:w="2971" w:type="dxa"/>
            <w:vAlign w:val="center"/>
          </w:tcPr>
          <w:p>
            <w:r>
              <w:t>65.06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耗热量(kWh/㎡)</w:t>
            </w:r>
          </w:p>
        </w:tc>
        <w:tc>
          <w:tcPr>
            <w:tcW w:w="2971" w:type="dxa"/>
            <w:vAlign w:val="center"/>
          </w:tcPr>
          <w:p>
            <w:r>
              <w:t>68.32</w:t>
            </w:r>
          </w:p>
        </w:tc>
        <w:tc>
          <w:tcPr>
            <w:tcW w:w="2971" w:type="dxa"/>
            <w:vAlign w:val="center"/>
          </w:tcPr>
          <w:p>
            <w:r>
              <w:t>81.87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节能率</w:t>
            </w:r>
          </w:p>
        </w:tc>
        <w:tc>
          <w:tcPr>
            <w:tcW w:w="5942" w:type="dxa"/>
            <w:gridSpan w:val="2"/>
            <w:vAlign w:val="center"/>
          </w:tcPr>
          <w:p>
            <w:r>
              <w:t>59.36%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标准依据</w:t>
            </w:r>
          </w:p>
        </w:tc>
        <w:tc>
          <w:tcPr>
            <w:tcW w:w="5942" w:type="dxa"/>
            <w:gridSpan w:val="2"/>
            <w:vAlign w:val="center"/>
          </w:tcPr>
          <w:p>
            <w:r>
              <w:t>江苏省《公共建筑节能设计标准》（DGJ32/J96-2010）第3.7.1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标准要求</w:t>
            </w:r>
          </w:p>
        </w:tc>
        <w:tc>
          <w:tcPr>
            <w:tcW w:w="5942" w:type="dxa"/>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结论</w:t>
            </w:r>
          </w:p>
        </w:tc>
        <w:tc>
          <w:tcPr>
            <w:tcW w:w="5942" w:type="dxa"/>
            <w:gridSpan w:val="2"/>
            <w:vAlign w:val="center"/>
          </w:tcPr>
          <w:p>
            <w:r>
              <w:t>满足</w:t>
            </w:r>
          </w:p>
        </w:tc>
      </w:tr>
    </w:tbl>
    <w:p>
      <w:pPr>
        <w:pStyle w:val="2"/>
      </w:pPr>
      <w:r>
        <w:t>综合权衡判断结论</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4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4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窗墙比超标时，屋面K墙体K窗户K应达标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外窗K超标时，屋面K和墙体k应达标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外墙K超标时，屋面K和外窗K应达标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窗的遮阳超标时，屋面K墙体K窗K应达标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屋面K不得超标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6</w:t>
            </w:r>
          </w:p>
        </w:tc>
        <w:tc>
          <w:tcPr>
            <w:tcW w:w="4069" w:type="dxa"/>
            <w:vAlign w:val="center"/>
          </w:tcPr>
          <w:p>
            <w:r>
              <w:t>窗和外墙的传热系数不得同时超标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7</w:t>
            </w:r>
          </w:p>
        </w:tc>
        <w:tc>
          <w:tcPr>
            <w:tcW w:w="4069" w:type="dxa"/>
            <w:vAlign w:val="center"/>
          </w:tcPr>
          <w:p>
            <w:r>
              <w:t>窗的遮阳和传热系数不得同时超标</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8</w:t>
            </w:r>
          </w:p>
        </w:tc>
        <w:tc>
          <w:tcPr>
            <w:tcW w:w="4069" w:type="dxa"/>
            <w:vAlign w:val="center"/>
          </w:tcPr>
          <w:p>
            <w:r>
              <w:t>综合权衡</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4131" w:type="dxa"/>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《江苏省公共建筑节能设计标准》（DGJ32/J96-2010）和《江苏省绿色建筑施工图设计文件编制深度规定》（2014年版）的要求。</w:t>
      </w:r>
    </w:p>
    <w:p/>
    <w:sectPr>
      <w:headerReference r:id="rId3" w:type="default"/>
      <w:footerReference r:id="rId4" w:type="default"/>
      <w:pgSz w:w="11906" w:h="16838"/>
      <w:pgMar w:top="1418"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kern w:val="0"/>
        <w:szCs w:val="21"/>
      </w:rPr>
      <w:t>江苏省公共建筑节能设计权衡判断计算报告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46200"/>
    <w:multiLevelType w:val="multilevel"/>
    <w:tmpl w:val="2E746200"/>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MzY3Yjk0ZmNkNzBhY2Y0YjVhZGM5Y2M5MjNkYmYifQ=="/>
  </w:docVars>
  <w:rsids>
    <w:rsidRoot w:val="004B7020"/>
    <w:rsid w:val="0001106E"/>
    <w:rsid w:val="00011DEB"/>
    <w:rsid w:val="000336D3"/>
    <w:rsid w:val="00040FEB"/>
    <w:rsid w:val="000A455F"/>
    <w:rsid w:val="0015153D"/>
    <w:rsid w:val="001C4B87"/>
    <w:rsid w:val="00200C5B"/>
    <w:rsid w:val="00384AC9"/>
    <w:rsid w:val="004348EB"/>
    <w:rsid w:val="00485590"/>
    <w:rsid w:val="004B7020"/>
    <w:rsid w:val="004F4306"/>
    <w:rsid w:val="005B4675"/>
    <w:rsid w:val="005C1BD4"/>
    <w:rsid w:val="00656F38"/>
    <w:rsid w:val="006606B4"/>
    <w:rsid w:val="0069130F"/>
    <w:rsid w:val="006B420A"/>
    <w:rsid w:val="007C24A4"/>
    <w:rsid w:val="00926EB5"/>
    <w:rsid w:val="009E0EC6"/>
    <w:rsid w:val="00A14469"/>
    <w:rsid w:val="00A1539C"/>
    <w:rsid w:val="00A751CD"/>
    <w:rsid w:val="00A95F44"/>
    <w:rsid w:val="00AB383E"/>
    <w:rsid w:val="00B10915"/>
    <w:rsid w:val="00B12FA4"/>
    <w:rsid w:val="00B90586"/>
    <w:rsid w:val="00C51B65"/>
    <w:rsid w:val="00C75C79"/>
    <w:rsid w:val="00C9335B"/>
    <w:rsid w:val="00CD5A6D"/>
    <w:rsid w:val="00D77EDF"/>
    <w:rsid w:val="00D861D3"/>
    <w:rsid w:val="00DC40A5"/>
    <w:rsid w:val="00E45E59"/>
    <w:rsid w:val="00F14B9F"/>
    <w:rsid w:val="00F61F9B"/>
    <w:rsid w:val="7BDB4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120" w:after="120" w:line="578" w:lineRule="auto"/>
      <w:outlineLvl w:val="0"/>
    </w:pPr>
    <w:rPr>
      <w:b/>
      <w:bCs/>
      <w:kern w:val="44"/>
      <w:sz w:val="28"/>
      <w:szCs w:val="44"/>
    </w:rPr>
  </w:style>
  <w:style w:type="paragraph" w:styleId="3">
    <w:name w:val="heading 2"/>
    <w:basedOn w:val="1"/>
    <w:next w:val="1"/>
    <w:link w:val="16"/>
    <w:autoRedefine/>
    <w:semiHidden/>
    <w:unhideWhenUsed/>
    <w:qFormat/>
    <w:uiPriority w:val="0"/>
    <w:pPr>
      <w:keepNext/>
      <w:keepLines/>
      <w:spacing w:before="120" w:after="120" w:line="415" w:lineRule="auto"/>
      <w:outlineLvl w:val="1"/>
    </w:pPr>
    <w:rPr>
      <w:rFonts w:ascii="Cambria" w:hAnsi="Cambria"/>
      <w:b/>
      <w:bCs/>
      <w:sz w:val="24"/>
      <w:szCs w:val="32"/>
    </w:rPr>
  </w:style>
  <w:style w:type="paragraph" w:styleId="4">
    <w:name w:val="heading 3"/>
    <w:basedOn w:val="1"/>
    <w:next w:val="1"/>
    <w:autoRedefine/>
    <w:qFormat/>
    <w:uiPriority w:val="0"/>
    <w:pPr>
      <w:keepNext/>
      <w:keepLines/>
      <w:spacing w:before="260" w:after="260" w:line="416" w:lineRule="auto"/>
      <w:outlineLvl w:val="2"/>
    </w:pPr>
    <w:rPr>
      <w:b/>
      <w:bCs/>
      <w:szCs w:val="32"/>
    </w:rPr>
  </w:style>
  <w:style w:type="paragraph" w:styleId="5">
    <w:name w:val="heading 7"/>
    <w:basedOn w:val="1"/>
    <w:next w:val="1"/>
    <w:autoRedefine/>
    <w:qFormat/>
    <w:uiPriority w:val="0"/>
    <w:pPr>
      <w:keepNext/>
      <w:keepLines/>
      <w:spacing w:before="240" w:after="64" w:line="320" w:lineRule="auto"/>
      <w:outlineLvl w:val="6"/>
    </w:pPr>
    <w:rPr>
      <w:b/>
      <w:bCs/>
      <w:sz w:val="24"/>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Document Map"/>
    <w:basedOn w:val="1"/>
    <w:autoRedefine/>
    <w:semiHidden/>
    <w:uiPriority w:val="0"/>
    <w:pPr>
      <w:shd w:val="clear" w:color="auto" w:fill="000080"/>
    </w:pPr>
  </w:style>
  <w:style w:type="paragraph" w:styleId="8">
    <w:name w:val="annotation text"/>
    <w:basedOn w:val="1"/>
    <w:semiHidden/>
    <w:uiPriority w:val="0"/>
    <w:pPr>
      <w:jc w:val="left"/>
    </w:pPr>
  </w:style>
  <w:style w:type="paragraph" w:styleId="9">
    <w:name w:val="Balloon Text"/>
    <w:basedOn w:val="1"/>
    <w:semiHidden/>
    <w:uiPriority w:val="0"/>
    <w:rPr>
      <w:sz w:val="18"/>
      <w:szCs w:val="18"/>
    </w:rPr>
  </w:style>
  <w:style w:type="paragraph" w:styleId="10">
    <w:name w:val="footer"/>
    <w:basedOn w:val="1"/>
    <w:autoRedefine/>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8"/>
    <w:next w:val="8"/>
    <w:semiHidden/>
    <w:qFormat/>
    <w:uiPriority w:val="0"/>
    <w:rPr>
      <w:b/>
      <w:bCs/>
    </w:rPr>
  </w:style>
  <w:style w:type="character" w:styleId="15">
    <w:name w:val="annotation reference"/>
    <w:semiHidden/>
    <w:uiPriority w:val="0"/>
    <w:rPr>
      <w:sz w:val="21"/>
      <w:szCs w:val="21"/>
    </w:rPr>
  </w:style>
  <w:style w:type="character" w:customStyle="1" w:styleId="16">
    <w:name w:val="标题 2 字符"/>
    <w:link w:val="3"/>
    <w:autoRedefine/>
    <w:semiHidden/>
    <w:uiPriority w:val="0"/>
    <w:rPr>
      <w:rFonts w:ascii="Cambria" w:hAnsi="Cambria" w:eastAsia="宋体" w:cs="Times New Roman"/>
      <w:b/>
      <w:bCs/>
      <w:kern w:val="2"/>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33509;&#2096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Template>
  <Company>MC SYSTEM</Company>
  <Pages>4</Pages>
  <Words>314</Words>
  <Characters>1790</Characters>
  <Lines>14</Lines>
  <Paragraphs>4</Paragraphs>
  <TotalTime>0</TotalTime>
  <ScaleCrop>false</ScaleCrop>
  <LinksUpToDate>false</LinksUpToDate>
  <CharactersWithSpaces>2100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2024-01-07T17:03:00Z</dcterms:created>
  <dc:creator>张若凡</dc:creator>
  <cp:lastModifiedBy>篛凢</cp:lastModifiedBy>
  <cp:lastPrinted>2006-01-20T03:24:00Z</cp:lastPrinted>
  <dcterms:modified xsi:type="dcterms:W3CDTF">2024-01-09T08:24:06Z</dcterms:modified>
  <dc:title>江苏乙类公建2010权衡判断节能计算报告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B74C2CDD027644C3890DB6C97B519A68_12</vt:lpwstr>
  </property>
</Properties>
</file>