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55" w:name="_GoBack"/>
      <w:bookmarkEnd w:id="55"/>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20220401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T13641108674</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6</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80622811"/>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DT</w:t>
            </w:r>
          </w:p>
        </w:tc>
        <w:tc>
          <w:tcPr>
            <w:vAlign w:val="center"/>
          </w:tcPr>
          <w:p>
            <w:pPr>
              <w:jc w:val="center"/>
            </w:pPr>
            <w:r>
              <w:t>34.00</w:t>
            </w:r>
          </w:p>
        </w:tc>
        <w:tc>
          <w:tcPr>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80622812"/>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80622813"/>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8062281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80622815"/>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80622816"/>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806228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36576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80622818"/>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80622819"/>
      <w:bookmarkStart w:id="31" w:name="_Toc47932672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北土城西路</w:t>
            </w:r>
          </w:p>
        </w:tc>
        <w:tc>
          <w:tcPr>
            <w:vMerge w:val="restart"/>
            <w:vAlign w:val="center"/>
          </w:tcPr>
          <w:p>
            <w:pPr>
              <w:jc w:val="center"/>
            </w:pPr>
            <w:r>
              <w:t>沥青</w:t>
            </w:r>
            <w:r>
              <w:br w:type="textWrapping"/>
            </w:r>
            <w:r>
              <w:t>混凝土</w:t>
            </w:r>
          </w:p>
        </w:tc>
        <w:tc>
          <w:tcPr>
            <w:vMerge w:val="restart"/>
            <w:vAlign w:val="center"/>
          </w:tcPr>
          <w:p>
            <w:pPr>
              <w:jc w:val="center"/>
            </w:pPr>
            <w:r>
              <w:t>6</w:t>
            </w:r>
          </w:p>
        </w:tc>
        <w:tc>
          <w:tcPr>
            <w:vAlign w:val="center"/>
          </w:tcPr>
          <w:p>
            <w:pPr>
              <w:jc w:val="center"/>
            </w:pPr>
            <w:r>
              <w:t>昼间</w:t>
            </w:r>
          </w:p>
        </w:tc>
        <w:tc>
          <w:tcPr>
            <w:vAlign w:val="center"/>
          </w:tcPr>
          <w:p>
            <w:pPr>
              <w:jc w:val="center"/>
            </w:pPr>
            <w:r>
              <w:t>60</w:t>
            </w:r>
          </w:p>
        </w:tc>
        <w:tc>
          <w:tcPr>
            <w:vAlign w:val="center"/>
          </w:tcPr>
          <w:p>
            <w:pPr>
              <w:jc w:val="center"/>
            </w:pPr>
            <w:r>
              <w:t>1200</w:t>
            </w:r>
          </w:p>
        </w:tc>
        <w:tc>
          <w:tcPr>
            <w:vAlign w:val="center"/>
          </w:tcPr>
          <w:p>
            <w:pPr>
              <w:jc w:val="center"/>
            </w:pPr>
            <w:r>
              <w:t>100</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50</w:t>
            </w:r>
          </w:p>
        </w:tc>
        <w:tc>
          <w:tcPr>
            <w:vAlign w:val="center"/>
          </w:tcPr>
          <w:p>
            <w:pPr>
              <w:jc w:val="center"/>
            </w:pPr>
            <w:r>
              <w:t>5</w:t>
            </w:r>
          </w:p>
        </w:tc>
        <w:tc>
          <w:tcPr>
            <w:vAlign w:val="center"/>
          </w:tcPr>
          <w:p>
            <w:pPr>
              <w:jc w:val="center"/>
            </w:pPr>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学知桥</w:t>
            </w:r>
          </w:p>
        </w:tc>
        <w:tc>
          <w:tcPr>
            <w:vMerge w:val="restart"/>
            <w:vAlign w:val="center"/>
          </w:tcPr>
          <w:p>
            <w:pPr>
              <w:jc w:val="center"/>
            </w:pPr>
            <w:r>
              <w:t>沥青</w:t>
            </w:r>
            <w:r>
              <w:br w:type="textWrapping"/>
            </w:r>
            <w:r>
              <w:t>混凝土</w:t>
            </w:r>
          </w:p>
        </w:tc>
        <w:tc>
          <w:tcPr>
            <w:vMerge w:val="restart"/>
            <w:vAlign w:val="center"/>
          </w:tcPr>
          <w:p>
            <w:pPr>
              <w:jc w:val="center"/>
            </w:pPr>
            <w:r>
              <w:t>8</w:t>
            </w:r>
          </w:p>
        </w:tc>
        <w:tc>
          <w:tcPr>
            <w:vAlign w:val="center"/>
          </w:tcPr>
          <w:p>
            <w:pPr>
              <w:jc w:val="center"/>
            </w:pPr>
            <w:r>
              <w:t>昼间</w:t>
            </w:r>
          </w:p>
        </w:tc>
        <w:tc>
          <w:tcPr>
            <w:vAlign w:val="center"/>
          </w:tcPr>
          <w:p>
            <w:pPr>
              <w:jc w:val="center"/>
            </w:pPr>
            <w:r>
              <w:t>80</w:t>
            </w:r>
          </w:p>
        </w:tc>
        <w:tc>
          <w:tcPr>
            <w:vAlign w:val="center"/>
          </w:tcPr>
          <w:p>
            <w:pPr>
              <w:jc w:val="center"/>
            </w:pPr>
            <w:r>
              <w:t>2000</w:t>
            </w:r>
          </w:p>
        </w:tc>
        <w:tc>
          <w:tcPr>
            <w:vAlign w:val="center"/>
          </w:tcPr>
          <w:p>
            <w:pPr>
              <w:jc w:val="center"/>
            </w:pPr>
            <w:r>
              <w:t>600</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80</w:t>
            </w:r>
          </w:p>
        </w:tc>
        <w:tc>
          <w:tcPr>
            <w:vAlign w:val="center"/>
          </w:tcPr>
          <w:p>
            <w:pPr>
              <w:jc w:val="center"/>
            </w:pPr>
            <w:r>
              <w:t>100</w:t>
            </w:r>
          </w:p>
        </w:tc>
        <w:tc>
          <w:tcPr>
            <w:vAlign w:val="center"/>
          </w:tcPr>
          <w:p>
            <w:pPr>
              <w:jc w:val="center"/>
            </w:pPr>
            <w:r>
              <w:t>10</w:t>
            </w:r>
          </w:p>
        </w:tc>
        <w:tc>
          <w:tcPr>
            <w:vAlign w:val="center"/>
          </w:tcPr>
          <w:p>
            <w:pPr>
              <w:jc w:val="center"/>
            </w:pPr>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学知桥</w:t>
            </w:r>
          </w:p>
        </w:tc>
        <w:tc>
          <w:tcPr>
            <w:vMerge w:val="restart"/>
            <w:vAlign w:val="center"/>
          </w:tcPr>
          <w:p>
            <w:pPr>
              <w:jc w:val="center"/>
            </w:pPr>
            <w:r>
              <w:t>沥青</w:t>
            </w:r>
            <w:r>
              <w:br w:type="textWrapping"/>
            </w:r>
            <w:r>
              <w:t>混凝土</w:t>
            </w:r>
          </w:p>
        </w:tc>
        <w:tc>
          <w:tcPr>
            <w:vMerge w:val="restart"/>
            <w:vAlign w:val="center"/>
          </w:tcPr>
          <w:p>
            <w:pPr>
              <w:jc w:val="center"/>
            </w:pPr>
            <w:r>
              <w:t>8</w:t>
            </w:r>
          </w:p>
        </w:tc>
        <w:tc>
          <w:tcPr>
            <w:vAlign w:val="center"/>
          </w:tcPr>
          <w:p>
            <w:pPr>
              <w:jc w:val="center"/>
            </w:pPr>
            <w:r>
              <w:t>昼间</w:t>
            </w:r>
          </w:p>
        </w:tc>
        <w:tc>
          <w:tcPr>
            <w:vAlign w:val="center"/>
          </w:tcPr>
          <w:p>
            <w:pPr>
              <w:jc w:val="center"/>
            </w:pPr>
            <w:r>
              <w:t>70</w:t>
            </w:r>
          </w:p>
        </w:tc>
        <w:tc>
          <w:tcPr>
            <w:vAlign w:val="center"/>
          </w:tcPr>
          <w:p>
            <w:pPr>
              <w:jc w:val="center"/>
            </w:pPr>
            <w:r>
              <w:t>1500</w:t>
            </w:r>
          </w:p>
        </w:tc>
        <w:tc>
          <w:tcPr>
            <w:vAlign w:val="center"/>
          </w:tcPr>
          <w:p>
            <w:pPr>
              <w:jc w:val="center"/>
            </w:pPr>
            <w:r>
              <w:t>400</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70</w:t>
            </w:r>
          </w:p>
        </w:tc>
        <w:tc>
          <w:tcPr>
            <w:vAlign w:val="center"/>
          </w:tcPr>
          <w:p>
            <w:pPr>
              <w:jc w:val="center"/>
            </w:pPr>
            <w:r>
              <w:t>80</w:t>
            </w:r>
          </w:p>
        </w:tc>
        <w:tc>
          <w:tcPr>
            <w:vAlign w:val="center"/>
          </w:tcPr>
          <w:p>
            <w:pPr>
              <w:jc w:val="center"/>
            </w:pPr>
            <w:r>
              <w:t>10</w:t>
            </w:r>
          </w:p>
        </w:tc>
        <w:tc>
          <w:tcPr>
            <w:vAlign w:val="center"/>
          </w:tcPr>
          <w:p>
            <w:pPr>
              <w:jc w:val="center"/>
            </w:pPr>
            <w:r>
              <w:t>1</w:t>
            </w:r>
          </w:p>
        </w:tc>
      </w:tr>
    </w:tbl>
    <w:p>
      <w:pPr>
        <w:spacing w:line="276" w:lineRule="auto"/>
        <w:jc w:val="center"/>
      </w:pPr>
    </w:p>
    <w:p/>
    <w:p>
      <w:pPr>
        <w:pStyle w:val="2"/>
        <w:rPr>
          <w:sz w:val="28"/>
          <w:szCs w:val="28"/>
        </w:rPr>
      </w:pPr>
      <w:bookmarkStart w:id="33" w:name="_Toc479326727"/>
      <w:bookmarkStart w:id="34" w:name="_Toc80622820"/>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8940"/>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SVN2023\Sedu2023\sys\SEDU室外噪声模型图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409371"/>
                    </a:xfrm>
                    <a:prstGeom prst="rect">
                      <a:avLst/>
                    </a:prstGeom>
                    <a:noFill/>
                    <a:ln>
                      <a:noFill/>
                    </a:ln>
                  </pic:spPr>
                </pic:pic>
              </a:graphicData>
            </a:graphic>
          </wp:inline>
        </w:drawing>
      </w:r>
    </w:p>
    <w:p>
      <w:pPr>
        <w:jc w:val="center"/>
        <w:rPr>
          <w:rFonts w:hint="eastAsia"/>
        </w:rPr>
      </w:pPr>
    </w:p>
    <w:p>
      <w:pPr>
        <w:jc w:val="center"/>
        <w:rPr>
          <w:rFonts w:ascii="Times New Roman" w:hAnsi="Times New Roman"/>
        </w:rPr>
      </w:pPr>
      <w:bookmarkStart w:id="37" w:name="场地分布图昼"/>
      <w:bookmarkEnd w:id="37"/>
      <w:r>
        <w:drawing>
          <wp:inline distT="0" distB="0" distL="0" distR="0">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61245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61245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61245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61245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7622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762250"/>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7622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7622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DT</w:t>
            </w:r>
          </w:p>
        </w:tc>
        <w:tc>
          <w:tcPr>
            <w:vAlign w:val="center"/>
          </w:tcPr>
          <w:p>
            <w:pPr>
              <w:jc w:val="center"/>
            </w:pPr>
            <w:r>
              <w:t>昼间</w:t>
            </w:r>
          </w:p>
        </w:tc>
        <w:tc>
          <w:tcPr>
            <w:vAlign w:val="center"/>
          </w:tcPr>
          <w:p>
            <w:pPr>
              <w:jc w:val="center"/>
            </w:pPr>
            <w:r>
              <w:t>60</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44</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80622823"/>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60</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44</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682CC4"/>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0868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datastoreItem>
</file>

<file path=docProps/app.xml><?xml version="1.0" encoding="utf-8"?>
<Properties xmlns="http://schemas.openxmlformats.org/officeDocument/2006/extended-properties" xmlns:vt="http://schemas.openxmlformats.org/officeDocument/2006/docPropsVTypes">
  <Template>tmp1.dotx</Template>
  <Pages>14</Pages>
  <Words>2637</Words>
  <Characters>3062</Characters>
  <Lines>27</Lines>
  <Paragraphs>7</Paragraphs>
  <TotalTime>57</TotalTime>
  <ScaleCrop>false</ScaleCrop>
  <LinksUpToDate>false</LinksUpToDate>
  <CharactersWithSpaces>3287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2024-01-03T06:55:00Z</dcterms:created>
  <dc:creator>v法国推开门VCD绕太阳</dc:creator>
  <cp:lastModifiedBy>v法国推开门VCD绕太阳</cp:lastModifiedBy>
  <dcterms:modified xsi:type="dcterms:W3CDTF">2024-01-03T07:01:41Z</dcterms:modified>
  <dc:title>环境图_更改过工程设置的 声环境室外噪声分析报告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7D1F0015E2114C81BB999C58D6B26DC6_11</vt:lpwstr>
  </property>
  <property fmtid="{D5CDD505-2E9C-101B-9397-08002B2CF9AE}" pid="3" name="KSOProductBuildVer">
    <vt:lpwstr>2052-12.1.0.16120</vt:lpwstr>
  </property>
</Properties>
</file>