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8"/>
              <w:tabs>
                <w:tab w:val="clear" w:pos="4153"/>
                <w:tab w:val="clear" w:pos="8306"/>
              </w:tabs>
              <w:snapToGrid/>
              <w:jc w:val="both"/>
              <w:rPr>
                <w:rFonts w:ascii="宋体" w:hAnsi="宋体"/>
                <w:szCs w:val="21"/>
              </w:rPr>
            </w:pPr>
            <w:bookmarkStart w:id="1" w:name="项目名称"/>
            <w:bookmarkEnd w:id="1"/>
            <w:r>
              <w:rPr>
                <w:rFonts w:hint="eastAsia"/>
              </w:rPr>
              <w:t>绿贝佳居——马邱村装配式农房设计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石家庄</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r>
              <w:t>华北理工大学</w:t>
            </w:r>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r>
              <w:t>华北理工大学</w:t>
            </w:r>
            <w:r>
              <w:rPr>
                <w:rFonts w:hint="eastAsia"/>
                <w:lang w:val="en-US" w:eastAsia="zh-CN"/>
              </w:rPr>
              <w:t>建筑工程学院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hint="default" w:ascii="宋体" w:hAnsi="宋体" w:eastAsia="宋体"/>
                <w:szCs w:val="21"/>
                <w:lang w:val="en-US" w:eastAsia="zh-CN"/>
              </w:rPr>
            </w:pPr>
            <w:bookmarkStart w:id="76" w:name="_GoBack"/>
            <w:bookmarkEnd w:id="7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2023年12月26日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T15256452557</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rPr>
          <w:rFonts w:asciiTheme="minorHAnsi" w:hAnsiTheme="minorHAnsi" w:eastAsiaTheme="minorEastAsia" w:cstheme="minorBid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7</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8</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10</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10</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11</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12</w:t>
      </w:r>
      <w:r>
        <w:fldChar w:fldCharType="end"/>
      </w:r>
      <w:r>
        <w:fldChar w:fldCharType="end"/>
      </w:r>
    </w:p>
    <w:p>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0"/>
    <w:p>
      <w:pPr>
        <w:pStyle w:val="2"/>
      </w:pPr>
      <w:bookmarkStart w:id="11" w:name="_Toc58243666"/>
      <w:bookmarkStart w:id="12" w:name="_Toc452108759"/>
      <w:bookmarkStart w:id="13" w:name="_Toc50050011"/>
      <w:bookmarkStart w:id="14" w:name="_Toc13735908"/>
      <w:bookmarkStart w:id="15" w:name="_Toc452108762"/>
      <w:bookmarkStart w:id="16" w:name="TitleFormat"/>
      <w:r>
        <w:rPr>
          <w:rFonts w:hint="eastAsia"/>
        </w:rPr>
        <w:t>项目概况</w:t>
      </w:r>
      <w:bookmarkEnd w:id="11"/>
      <w:bookmarkEnd w:id="12"/>
      <w:bookmarkEnd w:id="13"/>
      <w:bookmarkEnd w:id="14"/>
    </w:p>
    <w:p>
      <w:pPr>
        <w:pStyle w:val="3"/>
        <w:ind w:firstLine="420"/>
        <w:rPr>
          <w:lang w:val="en-US"/>
        </w:rPr>
      </w:pPr>
      <w:bookmarkStart w:id="17" w:name="项目概况"/>
      <w:bookmarkEnd w:id="17"/>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8" w:name="_Toc452108760"/>
      <w:bookmarkStart w:id="19" w:name="_Toc13735909"/>
      <w:bookmarkStart w:id="20" w:name="_Toc50050012"/>
      <w:bookmarkStart w:id="21" w:name="_Toc58243667"/>
      <w:bookmarkStart w:id="22" w:name="平面图2"/>
      <w:r>
        <w:t>平面图</w:t>
      </w:r>
      <w:bookmarkEnd w:id="18"/>
      <w:bookmarkEnd w:id="19"/>
      <w:bookmarkEnd w:id="20"/>
      <w:bookmarkEnd w:id="21"/>
    </w:p>
    <w:p>
      <w:pPr>
        <w:pStyle w:val="3"/>
        <w:ind w:firstLine="0" w:firstLineChars="0"/>
        <w:jc w:val="center"/>
        <w:rPr>
          <w:lang w:val="en-US"/>
        </w:rPr>
      </w:pPr>
      <w:bookmarkStart w:id="23" w:name="平面图"/>
      <w:bookmarkEnd w:id="23"/>
      <w:r>
        <w:drawing>
          <wp:inline distT="0" distB="0" distL="0" distR="0">
            <wp:extent cx="5362575" cy="80105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362575" cy="801052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47529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475297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667375" cy="47815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4781550"/>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p>
    <w:bookmarkEnd w:id="22"/>
    <w:p>
      <w:pPr>
        <w:pStyle w:val="3"/>
        <w:ind w:firstLine="0" w:firstLineChars="0"/>
        <w:jc w:val="center"/>
        <w:rPr>
          <w:lang w:val="en-US"/>
        </w:rPr>
      </w:pPr>
    </w:p>
    <w:p>
      <w:pPr>
        <w:pStyle w:val="4"/>
      </w:pPr>
      <w:bookmarkStart w:id="24" w:name="_Toc13735910"/>
      <w:bookmarkStart w:id="25" w:name="_Toc452108761"/>
      <w:bookmarkStart w:id="26" w:name="_Toc50050013"/>
      <w:bookmarkStart w:id="27" w:name="_Toc58243668"/>
      <w:r>
        <w:rPr>
          <w:rFonts w:hint="eastAsia"/>
        </w:rPr>
        <w:t>三</w:t>
      </w:r>
      <w:r>
        <w:t>维视图</w:t>
      </w:r>
      <w:bookmarkEnd w:id="24"/>
      <w:bookmarkEnd w:id="25"/>
      <w:bookmarkEnd w:id="26"/>
      <w:bookmarkEnd w:id="27"/>
    </w:p>
    <w:p>
      <w:pPr>
        <w:pStyle w:val="3"/>
        <w:ind w:firstLine="0" w:firstLineChars="0"/>
        <w:jc w:val="center"/>
        <w:rPr>
          <w:lang w:val="en-US"/>
        </w:rPr>
      </w:pPr>
      <w:bookmarkStart w:id="28" w:name="模型观察"/>
      <w:bookmarkStart w:id="29" w:name="三维视图"/>
      <w:r>
        <w:t>请先在【模型观察】命令中保存图片</w:t>
      </w:r>
      <w:bookmarkEnd w:id="28"/>
      <w:bookmarkEnd w:id="29"/>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30" w:name="_Toc58243669"/>
      <w:bookmarkStart w:id="31" w:name="_Toc50050014"/>
      <w:r>
        <w:rPr>
          <w:rFonts w:hint="eastAsia"/>
        </w:rPr>
        <w:t>计算</w:t>
      </w:r>
      <w:r>
        <w:t>依据</w:t>
      </w:r>
      <w:bookmarkEnd w:id="15"/>
      <w:bookmarkEnd w:id="16"/>
      <w:bookmarkEnd w:id="30"/>
      <w:bookmarkEnd w:id="31"/>
    </w:p>
    <w:p>
      <w:pPr>
        <w:pStyle w:val="3"/>
        <w:ind w:firstLine="199" w:firstLineChars="95"/>
        <w:rPr>
          <w:lang w:val="en-US"/>
        </w:rPr>
      </w:pPr>
      <w:bookmarkStart w:id="32" w:name="_Toc452108763"/>
      <w:r>
        <w:rPr>
          <w:rFonts w:hint="eastAsia"/>
          <w:lang w:val="en-US"/>
        </w:rPr>
        <w:t>本项目主要参照资料为：</w:t>
      </w:r>
    </w:p>
    <w:p>
      <w:pPr>
        <w:pStyle w:val="3"/>
        <w:numPr>
          <w:ilvl w:val="0"/>
          <w:numId w:val="2"/>
        </w:numPr>
        <w:ind w:left="0" w:firstLine="200" w:firstLineChars="0"/>
        <w:rPr>
          <w:lang w:val="en-US"/>
        </w:rPr>
      </w:pPr>
      <w:bookmarkStart w:id="33" w:name="参考标准名称1"/>
      <w:r>
        <w:rPr>
          <w:rFonts w:hint="eastAsia"/>
          <w:lang w:val="en-US"/>
        </w:rPr>
        <w:t>《绿色建筑评价标准》GB/T50378-2019</w:t>
      </w:r>
      <w:bookmarkEnd w:id="33"/>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4" w:name="_Toc50050015"/>
      <w:bookmarkStart w:id="35" w:name="_Toc58243670"/>
      <w:r>
        <w:rPr>
          <w:rFonts w:hint="eastAsia"/>
        </w:rPr>
        <w:t>参考</w:t>
      </w:r>
      <w:r>
        <w:t>标准</w:t>
      </w:r>
      <w:bookmarkEnd w:id="32"/>
      <w:bookmarkEnd w:id="34"/>
      <w:bookmarkEnd w:id="35"/>
    </w:p>
    <w:p>
      <w:pPr>
        <w:pStyle w:val="3"/>
        <w:ind w:firstLine="420"/>
        <w:rPr>
          <w:lang w:val="en-US"/>
        </w:rPr>
      </w:pPr>
      <w:bookmarkStart w:id="36" w:name="_Toc451698935"/>
      <w:bookmarkStart w:id="37" w:name="_Toc452108764"/>
      <w:bookmarkStart w:id="38" w:name="_Toc451436145"/>
      <w:r>
        <w:rPr>
          <w:rFonts w:hint="eastAsia"/>
          <w:lang w:val="en-US"/>
        </w:rPr>
        <w:t>室内气流组织评价的主要依据为</w:t>
      </w:r>
      <w:bookmarkStart w:id="39" w:name="参考标准名称2"/>
      <w:r>
        <w:rPr>
          <w:rFonts w:hint="eastAsia"/>
          <w:lang w:val="en-US"/>
        </w:rPr>
        <w:t>《绿色建筑评价标准》GB/T50378-2019</w:t>
      </w:r>
      <w:bookmarkEnd w:id="39"/>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40" w:name="_Toc58243671"/>
      <w:bookmarkStart w:id="41" w:name="_Toc50050016"/>
      <w:r>
        <w:rPr>
          <w:rFonts w:hint="eastAsia"/>
        </w:rPr>
        <w:t>技术措施</w:t>
      </w:r>
      <w:bookmarkEnd w:id="40"/>
      <w:bookmarkEnd w:id="41"/>
    </w:p>
    <w:p>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2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shd w:val="clear" w:color="auto" w:fill="E6E6E6"/>
            <w:vAlign w:val="center"/>
          </w:tcPr>
          <w:p>
            <w:pPr>
              <w:jc w:val="center"/>
            </w:pPr>
            <w:r>
              <w:t>房间类型</w:t>
            </w:r>
          </w:p>
        </w:tc>
        <w:tc>
          <w:tcPr>
            <w:tcW w:w="7199" w:type="dxa"/>
            <w:shd w:val="clear" w:color="auto" w:fill="E6E6E6"/>
            <w:vAlign w:val="center"/>
          </w:tcPr>
          <w:p>
            <w:pPr>
              <w:jc w:val="center"/>
            </w:pPr>
            <w:r>
              <w:t>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厨房</w:t>
            </w: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卫生间</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安装排气扇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设置气窗（公共卫生间、浴室）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餐厅</w:t>
            </w: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bl>
    <w:p>
      <w:pPr>
        <w:pStyle w:val="3"/>
        <w:ind w:firstLine="420"/>
        <w:rPr>
          <w:lang w:val="en-US"/>
        </w:rPr>
      </w:pPr>
      <w:bookmarkStart w:id="42" w:name="技术措施"/>
      <w:bookmarkEnd w:id="42"/>
    </w:p>
    <w:p>
      <w:pPr>
        <w:pStyle w:val="2"/>
      </w:pPr>
      <w:bookmarkStart w:id="43" w:name="_Toc50050017"/>
      <w:bookmarkStart w:id="44" w:name="_Toc58243672"/>
      <w:r>
        <w:rPr>
          <w:rFonts w:hint="eastAsia"/>
        </w:rPr>
        <w:t>计算</w:t>
      </w:r>
      <w:bookmarkEnd w:id="36"/>
      <w:bookmarkEnd w:id="37"/>
      <w:r>
        <w:rPr>
          <w:rFonts w:hint="eastAsia"/>
        </w:rPr>
        <w:t>方法</w:t>
      </w:r>
      <w:bookmarkEnd w:id="43"/>
      <w:bookmarkEnd w:id="44"/>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5" w:name="_Toc50050018"/>
      <w:bookmarkStart w:id="46" w:name="_Toc58243673"/>
      <w:r>
        <w:t>CFD</w:t>
      </w:r>
      <w:r>
        <w:rPr>
          <w:rFonts w:hint="eastAsia"/>
        </w:rPr>
        <w:t>计算原理</w:t>
      </w:r>
      <w:bookmarkEnd w:id="45"/>
      <w:bookmarkEnd w:id="46"/>
    </w:p>
    <w:p>
      <w:pPr>
        <w:pStyle w:val="5"/>
      </w:pPr>
      <w:bookmarkStart w:id="47" w:name="_Toc50050019"/>
      <w:bookmarkStart w:id="48" w:name="_Toc58243674"/>
      <w:bookmarkStart w:id="49" w:name="_Toc451698937"/>
      <w:bookmarkStart w:id="50" w:name="_Toc452108765"/>
      <w:r>
        <w:rPr>
          <w:rFonts w:hint="eastAsia"/>
        </w:rPr>
        <w:t>湍流模型</w:t>
      </w:r>
      <w:bookmarkEnd w:id="47"/>
      <w:bookmarkEnd w:id="48"/>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51" w:name="_Toc50050020"/>
      <w:bookmarkStart w:id="52" w:name="_Toc451698938"/>
      <w:bookmarkStart w:id="53" w:name="_Toc452108766"/>
      <w:bookmarkStart w:id="54" w:name="_Toc8151"/>
      <w:bookmarkStart w:id="55" w:name="_Toc58243675"/>
      <w:r>
        <w:rPr>
          <w:rFonts w:hint="eastAsia"/>
        </w:rPr>
        <w:t>边界条件</w:t>
      </w:r>
      <w:bookmarkEnd w:id="51"/>
      <w:bookmarkEnd w:id="52"/>
      <w:bookmarkEnd w:id="53"/>
      <w:bookmarkEnd w:id="54"/>
      <w:bookmarkEnd w:id="55"/>
    </w:p>
    <w:p>
      <w:pPr>
        <w:spacing w:line="400" w:lineRule="atLeast"/>
        <w:ind w:firstLine="435"/>
        <w:rPr>
          <w:szCs w:val="21"/>
        </w:rPr>
      </w:pPr>
      <w:r>
        <w:rPr>
          <w:rFonts w:hint="eastAsia"/>
          <w:b/>
          <w:szCs w:val="21"/>
        </w:rPr>
        <w:t>进风窗口</w:t>
      </w:r>
      <w:r>
        <w:rPr>
          <w:rFonts w:hint="eastAsia"/>
          <w:szCs w:val="21"/>
        </w:rPr>
        <w:t>：采用压强边界条件；</w:t>
      </w:r>
    </w:p>
    <w:p>
      <w:pPr>
        <w:spacing w:line="400" w:lineRule="atLeast"/>
        <w:ind w:firstLine="435"/>
        <w:rPr>
          <w:szCs w:val="21"/>
        </w:rPr>
      </w:pPr>
      <w:r>
        <w:rPr>
          <w:rFonts w:hint="eastAsia"/>
          <w:b/>
          <w:szCs w:val="21"/>
        </w:rPr>
        <w:t>排风窗口</w:t>
      </w:r>
      <w:r>
        <w:rPr>
          <w:rFonts w:hint="eastAsia"/>
          <w:szCs w:val="21"/>
        </w:rPr>
        <w:t>：采用压强边界条件；</w:t>
      </w:r>
    </w:p>
    <w:p>
      <w:pPr>
        <w:pStyle w:val="5"/>
        <w:tabs>
          <w:tab w:val="left" w:pos="360"/>
        </w:tabs>
        <w:ind w:left="0" w:firstLine="0"/>
      </w:pPr>
      <w:bookmarkStart w:id="56" w:name="_Toc58243676"/>
      <w:bookmarkStart w:id="57" w:name="_Toc452108767"/>
      <w:bookmarkStart w:id="58" w:name="_Toc451698939"/>
      <w:bookmarkStart w:id="59" w:name="_Toc23583"/>
      <w:bookmarkStart w:id="60" w:name="_Toc50050021"/>
      <w:r>
        <w:rPr>
          <w:rFonts w:hint="eastAsia"/>
        </w:rPr>
        <w:t>求解计算</w:t>
      </w:r>
      <w:bookmarkEnd w:id="56"/>
      <w:bookmarkEnd w:id="57"/>
      <w:bookmarkEnd w:id="58"/>
      <w:bookmarkEnd w:id="59"/>
      <w:bookmarkEnd w:id="60"/>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pPr>
      <w:bookmarkStart w:id="63" w:name="_Toc452108768"/>
      <w:bookmarkStart w:id="64" w:name="_Toc3745"/>
      <w:bookmarkStart w:id="65" w:name="_Toc58243677"/>
      <w:bookmarkStart w:id="66" w:name="_Toc50050022"/>
      <w:r>
        <w:rPr>
          <w:rFonts w:hint="eastAsia"/>
        </w:rPr>
        <w:t>结果</w:t>
      </w:r>
      <w:r>
        <w:t>分析</w:t>
      </w:r>
      <w:bookmarkEnd w:id="63"/>
      <w:bookmarkEnd w:id="64"/>
      <w:bookmarkEnd w:id="65"/>
      <w:bookmarkEnd w:id="66"/>
    </w:p>
    <w:p>
      <w:pPr>
        <w:pStyle w:val="4"/>
      </w:pPr>
      <w:bookmarkStart w:id="67" w:name="_Toc58243678"/>
      <w:bookmarkStart w:id="68" w:name="_Toc50050023"/>
      <w:r>
        <w:rPr>
          <w:rFonts w:hint="eastAsia"/>
        </w:rPr>
        <w:t>室内速度场分布</w:t>
      </w:r>
      <w:bookmarkEnd w:id="67"/>
      <w:bookmarkEnd w:id="68"/>
    </w:p>
    <w:p>
      <w:pPr>
        <w:pStyle w:val="3"/>
        <w:ind w:firstLine="0" w:firstLineChars="0"/>
        <w:jc w:val="center"/>
        <w:rPr>
          <w:lang w:val="en-US"/>
        </w:rPr>
      </w:pPr>
      <w:bookmarkStart w:id="69" w:name="速度云图"/>
      <w:r>
        <w:drawing>
          <wp:inline distT="0" distB="0" distL="0" distR="0">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4"/>
                    <a:stretch>
                      <a:fillRect/>
                    </a:stretch>
                  </pic:blipFill>
                  <pic:spPr>
                    <a:xfrm>
                      <a:off x="0" y="0"/>
                      <a:ext cx="5667375" cy="3514725"/>
                    </a:xfrm>
                    <a:prstGeom prst="rect">
                      <a:avLst/>
                    </a:prstGeom>
                  </pic:spPr>
                </pic:pic>
              </a:graphicData>
            </a:graphic>
          </wp:inline>
        </w:drawing>
      </w:r>
    </w:p>
    <w:p>
      <w:pPr>
        <w:pStyle w:val="3"/>
        <w:ind w:firstLine="0" w:firstLineChars="0"/>
        <w:jc w:val="center"/>
        <w:rPr>
          <w:rFonts w:ascii="黑体" w:hAnsi="黑体" w:eastAsia="黑体"/>
          <w:lang w:val="en-US"/>
        </w:rPr>
      </w:pPr>
    </w:p>
    <w:p>
      <w:pPr>
        <w:pStyle w:val="3"/>
        <w:ind w:firstLine="0" w:firstLineChars="0"/>
        <w:jc w:val="center"/>
        <w:rPr>
          <w:rFonts w:ascii="黑体" w:hAnsi="黑体" w:eastAsia="黑体"/>
          <w:lang w:val="en-US"/>
        </w:rPr>
      </w:pPr>
    </w:p>
    <w:bookmarkEnd w:id="69"/>
    <w:p>
      <w:pPr>
        <w:pStyle w:val="4"/>
      </w:pPr>
      <w:bookmarkStart w:id="70" w:name="_Toc58243679"/>
      <w:bookmarkStart w:id="71" w:name="_Toc50050024"/>
      <w:r>
        <w:rPr>
          <w:rFonts w:hint="eastAsia"/>
        </w:rPr>
        <w:t>室内风速矢量图</w:t>
      </w:r>
      <w:bookmarkEnd w:id="70"/>
      <w:bookmarkEnd w:id="71"/>
    </w:p>
    <w:p>
      <w:pPr>
        <w:pStyle w:val="3"/>
        <w:ind w:firstLine="0" w:firstLineChars="0"/>
        <w:jc w:val="center"/>
        <w:rPr>
          <w:lang w:val="en-US"/>
        </w:rPr>
      </w:pPr>
      <w:bookmarkStart w:id="72" w:name="速度矢量图"/>
      <w: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5"/>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6"/>
                    <a:stretch>
                      <a:fillRect/>
                    </a:stretch>
                  </pic:blipFill>
                  <pic:spPr>
                    <a:xfrm>
                      <a:off x="0" y="0"/>
                      <a:ext cx="5667375" cy="3514725"/>
                    </a:xfrm>
                    <a:prstGeom prst="rect">
                      <a:avLst/>
                    </a:prstGeom>
                  </pic:spPr>
                </pic:pic>
              </a:graphicData>
            </a:graphic>
          </wp:inline>
        </w:drawing>
      </w:r>
    </w:p>
    <w:p>
      <w:pPr>
        <w:pStyle w:val="3"/>
        <w:ind w:firstLine="0" w:firstLineChars="0"/>
        <w:jc w:val="center"/>
        <w:rPr>
          <w:lang w:val="en-US"/>
        </w:rPr>
      </w:pPr>
    </w:p>
    <w:bookmarkEnd w:id="72"/>
    <w:p>
      <w:pPr>
        <w:pStyle w:val="4"/>
      </w:pPr>
      <w:bookmarkStart w:id="73" w:name="_Toc50050025"/>
      <w:bookmarkStart w:id="74" w:name="_Toc58243680"/>
      <w:r>
        <w:rPr>
          <w:rFonts w:hint="eastAsia"/>
        </w:rPr>
        <w:t>流线图</w:t>
      </w:r>
    </w:p>
    <w:p>
      <w:pPr>
        <w:pStyle w:val="3"/>
        <w:ind w:firstLine="420"/>
        <w:jc w:val="center"/>
        <w:rPr>
          <w:lang w:val="en-US"/>
        </w:rPr>
      </w:pPr>
      <w:bookmarkStart w:id="75" w:name="流线图"/>
      <w:bookmarkEnd w:id="75"/>
      <w: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7"/>
                    <a:stretch>
                      <a:fillRect/>
                    </a:stretch>
                  </pic:blipFill>
                  <pic:spPr>
                    <a:xfrm>
                      <a:off x="0" y="0"/>
                      <a:ext cx="5667375" cy="3514725"/>
                    </a:xfrm>
                    <a:prstGeom prst="rect">
                      <a:avLst/>
                    </a:prstGeom>
                  </pic:spPr>
                </pic:pic>
              </a:graphicData>
            </a:graphic>
          </wp:inline>
        </w:drawing>
      </w:r>
      <w:r>
        <w:drawing>
          <wp:inline distT="0" distB="0" distL="0" distR="0">
            <wp:extent cx="5667375" cy="351472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514725"/>
                    </a:xfrm>
                    <a:prstGeom prst="rect">
                      <a:avLst/>
                    </a:prstGeom>
                  </pic:spPr>
                </pic:pic>
              </a:graphicData>
            </a:graphic>
          </wp:inline>
        </w:drawing>
      </w:r>
    </w:p>
    <w:p>
      <w:pPr>
        <w:pStyle w:val="2"/>
        <w:rPr>
          <w:sz w:val="36"/>
          <w:szCs w:val="36"/>
        </w:rPr>
      </w:pPr>
      <w:r>
        <w:rPr>
          <w:rFonts w:hint="eastAsia"/>
          <w:sz w:val="36"/>
          <w:szCs w:val="36"/>
        </w:rPr>
        <w:t>结论</w:t>
      </w:r>
      <w:bookmarkEnd w:id="73"/>
      <w:bookmarkEnd w:id="74"/>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8"/>
    <w:bookmarkEnd w:id="49"/>
    <w:bookmarkEnd w:id="50"/>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正文">
    <w:altName w:val="AMGD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2</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B263C5"/>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3222"/>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63C5"/>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D3CE5"/>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 w:val="46FA6F1A"/>
    <w:rsid w:val="5C4D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autoRedefine/>
    <w:qFormat/>
    <w:uiPriority w:val="0"/>
    <w:pPr>
      <w:numPr>
        <w:ilvl w:val="5"/>
        <w:numId w:val="1"/>
      </w:numPr>
      <w:spacing w:before="240" w:after="60"/>
      <w:outlineLvl w:val="5"/>
    </w:pPr>
    <w:rPr>
      <w:b/>
      <w:bCs/>
      <w:szCs w:val="22"/>
    </w:rPr>
  </w:style>
  <w:style w:type="paragraph" w:styleId="9">
    <w:name w:val="heading 7"/>
    <w:basedOn w:val="1"/>
    <w:next w:val="1"/>
    <w:link w:val="41"/>
    <w:autoRedefine/>
    <w:qFormat/>
    <w:uiPriority w:val="0"/>
    <w:pPr>
      <w:numPr>
        <w:ilvl w:val="6"/>
        <w:numId w:val="1"/>
      </w:numPr>
      <w:spacing w:before="240" w:after="60"/>
      <w:outlineLvl w:val="6"/>
    </w:pPr>
    <w:rPr>
      <w:sz w:val="24"/>
      <w:szCs w:val="24"/>
    </w:rPr>
  </w:style>
  <w:style w:type="paragraph" w:styleId="10">
    <w:name w:val="heading 8"/>
    <w:basedOn w:val="1"/>
    <w:next w:val="1"/>
    <w:link w:val="42"/>
    <w:autoRedefine/>
    <w:qFormat/>
    <w:uiPriority w:val="0"/>
    <w:pPr>
      <w:numPr>
        <w:ilvl w:val="7"/>
        <w:numId w:val="1"/>
      </w:numPr>
      <w:spacing w:before="240" w:after="60"/>
      <w:outlineLvl w:val="7"/>
    </w:pPr>
    <w:rPr>
      <w:i/>
      <w:iCs/>
      <w:sz w:val="24"/>
      <w:szCs w:val="24"/>
    </w:rPr>
  </w:style>
  <w:style w:type="paragraph" w:styleId="11">
    <w:name w:val="heading 9"/>
    <w:basedOn w:val="1"/>
    <w:next w:val="1"/>
    <w:link w:val="43"/>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5"/>
    <w:autoRedefine/>
    <w:semiHidden/>
    <w:qFormat/>
    <w:uiPriority w:val="0"/>
    <w:pPr>
      <w:shd w:val="clear" w:color="auto" w:fill="000080"/>
    </w:pPr>
  </w:style>
  <w:style w:type="paragraph" w:styleId="15">
    <w:name w:val="Body Text Indent"/>
    <w:basedOn w:val="1"/>
    <w:link w:val="46"/>
    <w:autoRedefine/>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autoRedefine/>
    <w:unhideWhenUsed/>
    <w:qFormat/>
    <w:uiPriority w:val="99"/>
    <w:rPr>
      <w:color w:val="800080"/>
      <w:u w:val="single"/>
    </w:rPr>
  </w:style>
  <w:style w:type="character" w:styleId="26">
    <w:name w:val="Emphasis"/>
    <w:autoRedefine/>
    <w:qFormat/>
    <w:uiPriority w:val="20"/>
    <w:rPr>
      <w:color w:val="CC0000"/>
    </w:rPr>
  </w:style>
  <w:style w:type="character" w:styleId="27">
    <w:name w:val="Hyperlink"/>
    <w:autoRedefine/>
    <w:qFormat/>
    <w:uiPriority w:val="99"/>
    <w:rPr>
      <w:color w:val="0000FF"/>
      <w:u w:val="single"/>
    </w:rPr>
  </w:style>
  <w:style w:type="character" w:customStyle="1" w:styleId="28">
    <w:name w:val="标题 1 字符"/>
    <w:link w:val="2"/>
    <w:autoRedefine/>
    <w:uiPriority w:val="0"/>
    <w:rPr>
      <w:b/>
      <w:bCs/>
      <w:kern w:val="32"/>
      <w:sz w:val="28"/>
      <w:szCs w:val="28"/>
    </w:rPr>
  </w:style>
  <w:style w:type="character" w:customStyle="1" w:styleId="29">
    <w:name w:val="标题 2 字符"/>
    <w:link w:val="4"/>
    <w:autoRedefine/>
    <w:qFormat/>
    <w:uiPriority w:val="0"/>
    <w:rPr>
      <w:rFonts w:ascii="宋体" w:cs="Arial"/>
      <w:b/>
      <w:bCs/>
      <w:iCs/>
      <w:color w:val="000000"/>
      <w:sz w:val="24"/>
      <w:szCs w:val="24"/>
    </w:rPr>
  </w:style>
  <w:style w:type="character" w:customStyle="1" w:styleId="30">
    <w:name w:val="页脚 字符"/>
    <w:link w:val="18"/>
    <w:autoRedefine/>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autoRedefine/>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autoRedefine/>
    <w:semiHidden/>
    <w:uiPriority w:val="99"/>
    <w:rPr>
      <w:color w:val="808080"/>
    </w:rPr>
  </w:style>
  <w:style w:type="paragraph" w:styleId="37">
    <w:name w:val="No Spacing"/>
    <w:autoRedefine/>
    <w:qFormat/>
    <w:uiPriority w:val="1"/>
    <w:rPr>
      <w:rFonts w:ascii="Times New Roman" w:hAnsi="Times New Roman" w:eastAsia="宋体" w:cs="Times New Roman"/>
      <w:sz w:val="21"/>
      <w:lang w:val="en-GB" w:eastAsia="zh-CN" w:bidi="ar-SA"/>
    </w:rPr>
  </w:style>
  <w:style w:type="character" w:customStyle="1" w:styleId="38">
    <w:name w:val="标题 4 字符"/>
    <w:link w:val="6"/>
    <w:autoRedefine/>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autoRedefine/>
    <w:qFormat/>
    <w:uiPriority w:val="0"/>
    <w:rPr>
      <w:b/>
      <w:bCs/>
      <w:sz w:val="21"/>
      <w:szCs w:val="22"/>
      <w:lang w:val="en-GB"/>
    </w:rPr>
  </w:style>
  <w:style w:type="character" w:customStyle="1" w:styleId="41">
    <w:name w:val="标题 7 字符"/>
    <w:link w:val="9"/>
    <w:autoRedefine/>
    <w:qFormat/>
    <w:uiPriority w:val="0"/>
    <w:rPr>
      <w:sz w:val="24"/>
      <w:szCs w:val="24"/>
      <w:lang w:val="en-GB"/>
    </w:rPr>
  </w:style>
  <w:style w:type="character" w:customStyle="1" w:styleId="42">
    <w:name w:val="标题 8 字符"/>
    <w:link w:val="10"/>
    <w:autoRedefine/>
    <w:qFormat/>
    <w:uiPriority w:val="0"/>
    <w:rPr>
      <w:i/>
      <w:iCs/>
      <w:sz w:val="24"/>
      <w:szCs w:val="24"/>
      <w:lang w:val="en-GB"/>
    </w:rPr>
  </w:style>
  <w:style w:type="character" w:customStyle="1" w:styleId="43">
    <w:name w:val="标题 9 字符"/>
    <w:link w:val="11"/>
    <w:autoRedefine/>
    <w:qFormat/>
    <w:uiPriority w:val="0"/>
    <w:rPr>
      <w:rFonts w:ascii="Arial" w:hAnsi="Arial" w:cs="Arial"/>
      <w:sz w:val="22"/>
      <w:szCs w:val="22"/>
      <w:lang w:val="en-GB"/>
    </w:rPr>
  </w:style>
  <w:style w:type="character" w:customStyle="1" w:styleId="44">
    <w:name w:val="页眉 字符"/>
    <w:link w:val="19"/>
    <w:autoRedefine/>
    <w:qFormat/>
    <w:uiPriority w:val="0"/>
    <w:rPr>
      <w:sz w:val="21"/>
      <w:szCs w:val="18"/>
      <w:lang w:val="en-GB"/>
    </w:rPr>
  </w:style>
  <w:style w:type="character" w:customStyle="1" w:styleId="45">
    <w:name w:val="文档结构图 字符"/>
    <w:link w:val="14"/>
    <w:autoRedefine/>
    <w:semiHidden/>
    <w:qFormat/>
    <w:uiPriority w:val="0"/>
    <w:rPr>
      <w:sz w:val="21"/>
      <w:shd w:val="clear" w:color="auto" w:fill="000080"/>
      <w:lang w:val="en-GB"/>
    </w:rPr>
  </w:style>
  <w:style w:type="character" w:customStyle="1" w:styleId="46">
    <w:name w:val="正文文本缩进 字符"/>
    <w:basedOn w:val="24"/>
    <w:link w:val="15"/>
    <w:autoRedefine/>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numbering" Target="numbering.xml"/><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datastoreItem>
</file>

<file path=docProps/app.xml><?xml version="1.0" encoding="utf-8"?>
<Properties xmlns="http://schemas.openxmlformats.org/officeDocument/2006/extended-properties" xmlns:vt="http://schemas.openxmlformats.org/officeDocument/2006/docPropsVTypes">
  <Template>tmp4.dotx</Template>
  <Company>ths</Company>
  <Pages>12</Pages>
  <Words>423</Words>
  <Characters>2412</Characters>
  <Lines>20</Lines>
  <Paragraphs>5</Paragraphs>
  <TotalTime>0</TotalTime>
  <ScaleCrop>false</ScaleCrop>
  <LinksUpToDate>false</LinksUpToDate>
  <CharactersWithSpaces>2830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2023-12-26T14:05:00Z</dcterms:created>
  <dc:creator>Administrator</dc:creator>
  <cp:lastModifiedBy>介子生</cp:lastModifiedBy>
  <cp:lastPrinted>1900-12-31T16:00:00Z</cp:lastPrinted>
  <dcterms:modified xsi:type="dcterms:W3CDTF">2024-01-10T03:48:08Z</dcterms:modified>
  <dc:title>室内气流组织分析报告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C126C37D9E0249C5A335FF97958F2B63_12</vt:lpwstr>
  </property>
</Properties>
</file>